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E29578" w14:textId="150E2B03" w:rsidR="00D104AF" w:rsidRDefault="00F65706" w:rsidP="00D104AF">
      <w:pPr>
        <w:pStyle w:val="Standard"/>
        <w:widowControl w:val="0"/>
        <w:spacing w:line="360" w:lineRule="auto"/>
        <w:ind w:right="-15"/>
        <w:jc w:val="center"/>
        <w:rPr>
          <w:rFonts w:ascii="Arial" w:eastAsia="Arial" w:hAnsi="Arial" w:cs="Arial"/>
          <w:b/>
          <w:sz w:val="20"/>
          <w:szCs w:val="20"/>
        </w:rPr>
      </w:pPr>
      <w:r w:rsidRPr="00035B84">
        <w:rPr>
          <w:rFonts w:asciiTheme="minorHAnsi" w:hAnsiTheme="minorHAnsi" w:cstheme="minorHAnsi"/>
          <w:noProof/>
          <w:sz w:val="22"/>
          <w:szCs w:val="22"/>
          <w:lang w:eastAsia="pt-BR" w:bidi="ar-SA"/>
        </w:rPr>
        <w:drawing>
          <wp:inline distT="0" distB="0" distL="0" distR="0" wp14:anchorId="5B94D8F8" wp14:editId="78549BD9">
            <wp:extent cx="914400" cy="962021"/>
            <wp:effectExtent l="0" t="0" r="0" b="0"/>
            <wp:docPr id="1" name="Imagem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rcRect/>
                    <a:stretch>
                      <a:fillRect/>
                    </a:stretch>
                  </pic:blipFill>
                  <pic:spPr>
                    <a:xfrm>
                      <a:off x="0" y="0"/>
                      <a:ext cx="914400" cy="962021"/>
                    </a:xfrm>
                    <a:prstGeom prst="rect">
                      <a:avLst/>
                    </a:prstGeom>
                    <a:solidFill>
                      <a:srgbClr val="FFFFFF"/>
                    </a:solidFill>
                    <a:ln>
                      <a:noFill/>
                      <a:prstDash/>
                    </a:ln>
                  </pic:spPr>
                </pic:pic>
              </a:graphicData>
            </a:graphic>
          </wp:inline>
        </w:drawing>
      </w:r>
    </w:p>
    <w:p w14:paraId="40310903" w14:textId="77777777" w:rsidR="00F65706" w:rsidRPr="00F65706" w:rsidRDefault="00F65706" w:rsidP="00F65706">
      <w:pPr>
        <w:spacing w:line="276" w:lineRule="auto"/>
        <w:ind w:right="-57"/>
        <w:jc w:val="center"/>
        <w:rPr>
          <w:rFonts w:ascii="Arial" w:hAnsi="Arial" w:cs="Arial"/>
          <w:b/>
          <w:sz w:val="20"/>
          <w:szCs w:val="20"/>
        </w:rPr>
      </w:pPr>
      <w:r w:rsidRPr="00F65706">
        <w:rPr>
          <w:rFonts w:ascii="Arial" w:hAnsi="Arial" w:cs="Arial"/>
          <w:b/>
          <w:sz w:val="20"/>
          <w:szCs w:val="20"/>
        </w:rPr>
        <w:t>PODER JUDICIÁRIO</w:t>
      </w:r>
    </w:p>
    <w:p w14:paraId="34338B69" w14:textId="77777777" w:rsidR="00F65706" w:rsidRPr="00F65706" w:rsidRDefault="00F65706" w:rsidP="00F65706">
      <w:pPr>
        <w:spacing w:line="276" w:lineRule="auto"/>
        <w:ind w:right="-57"/>
        <w:jc w:val="center"/>
        <w:rPr>
          <w:rFonts w:ascii="Arial" w:hAnsi="Arial" w:cs="Arial"/>
          <w:b/>
          <w:sz w:val="20"/>
          <w:szCs w:val="20"/>
        </w:rPr>
      </w:pPr>
      <w:r w:rsidRPr="00F65706">
        <w:rPr>
          <w:rFonts w:ascii="Arial" w:hAnsi="Arial" w:cs="Arial"/>
          <w:b/>
          <w:sz w:val="20"/>
          <w:szCs w:val="20"/>
        </w:rPr>
        <w:t>JUSTIÇA DO TRABALHO</w:t>
      </w:r>
    </w:p>
    <w:p w14:paraId="34313C5F" w14:textId="77777777" w:rsidR="00D104AF" w:rsidRPr="00F65706" w:rsidRDefault="00D104AF" w:rsidP="00D104AF">
      <w:pPr>
        <w:pStyle w:val="Standard"/>
        <w:widowControl w:val="0"/>
        <w:spacing w:line="360" w:lineRule="auto"/>
        <w:ind w:right="-15"/>
        <w:jc w:val="center"/>
        <w:rPr>
          <w:rFonts w:ascii="Arial" w:eastAsia="Arial" w:hAnsi="Arial" w:cs="Arial"/>
          <w:b/>
          <w:sz w:val="20"/>
          <w:szCs w:val="20"/>
        </w:rPr>
      </w:pPr>
      <w:r w:rsidRPr="00F65706">
        <w:rPr>
          <w:rFonts w:ascii="Arial" w:eastAsia="Arial" w:hAnsi="Arial" w:cs="Arial"/>
          <w:b/>
          <w:sz w:val="20"/>
          <w:szCs w:val="20"/>
        </w:rPr>
        <w:t>TRIBUNAL REGIONAL DO TRABALHO DA 7ª REGIÃO</w:t>
      </w:r>
    </w:p>
    <w:p w14:paraId="38781463" w14:textId="77777777" w:rsidR="00F65706" w:rsidRDefault="00F65706" w:rsidP="00D104AF">
      <w:pPr>
        <w:pStyle w:val="Standard"/>
        <w:widowControl w:val="0"/>
        <w:spacing w:line="360" w:lineRule="auto"/>
        <w:ind w:right="-15"/>
        <w:jc w:val="center"/>
      </w:pPr>
    </w:p>
    <w:p w14:paraId="11C78142" w14:textId="7E85011A" w:rsidR="00D104AF" w:rsidRDefault="00D104AF" w:rsidP="00D104AF">
      <w:pPr>
        <w:pStyle w:val="Standard"/>
        <w:widowControl w:val="0"/>
        <w:spacing w:line="360" w:lineRule="auto"/>
        <w:ind w:right="-30"/>
        <w:jc w:val="center"/>
      </w:pPr>
      <w:r>
        <w:rPr>
          <w:rFonts w:ascii="Arial" w:eastAsia="Arial" w:hAnsi="Arial" w:cs="Arial"/>
          <w:b/>
          <w:sz w:val="20"/>
          <w:szCs w:val="20"/>
        </w:rPr>
        <w:t>ATA DE REGISTRO DE PREÇOS</w:t>
      </w:r>
      <w:r w:rsidR="00F65706">
        <w:rPr>
          <w:rFonts w:ascii="Arial" w:eastAsia="Arial" w:hAnsi="Arial" w:cs="Arial"/>
          <w:b/>
          <w:sz w:val="20"/>
          <w:szCs w:val="20"/>
        </w:rPr>
        <w:t xml:space="preserve"> </w:t>
      </w:r>
      <w:r>
        <w:rPr>
          <w:rFonts w:ascii="Arial" w:eastAsia="Arial" w:hAnsi="Arial" w:cs="Arial"/>
          <w:b/>
          <w:sz w:val="20"/>
          <w:szCs w:val="20"/>
        </w:rPr>
        <w:t xml:space="preserve">N.º </w:t>
      </w:r>
      <w:r w:rsidR="00F65706" w:rsidRPr="00F65706">
        <w:rPr>
          <w:rFonts w:ascii="Arial" w:eastAsia="Arial" w:hAnsi="Arial" w:cs="Arial"/>
          <w:b/>
          <w:sz w:val="20"/>
          <w:szCs w:val="20"/>
          <w:highlight w:val="yellow"/>
        </w:rPr>
        <w:t>____</w:t>
      </w:r>
      <w:r w:rsidR="00F65706">
        <w:rPr>
          <w:rFonts w:ascii="Arial" w:eastAsia="Arial" w:hAnsi="Arial" w:cs="Arial"/>
          <w:b/>
          <w:sz w:val="20"/>
          <w:szCs w:val="20"/>
        </w:rPr>
        <w:t>/2025</w:t>
      </w:r>
    </w:p>
    <w:p w14:paraId="4C143282" w14:textId="3A8B7985" w:rsidR="00D104AF" w:rsidRDefault="00D104AF" w:rsidP="00D104AF">
      <w:pPr>
        <w:pStyle w:val="Standard"/>
        <w:widowControl w:val="0"/>
        <w:tabs>
          <w:tab w:val="center" w:pos="4779"/>
          <w:tab w:val="right" w:pos="9198"/>
        </w:tabs>
        <w:spacing w:before="120" w:after="120" w:line="276" w:lineRule="auto"/>
        <w:ind w:right="-28" w:firstLine="1418"/>
        <w:jc w:val="both"/>
      </w:pPr>
      <w:r>
        <w:rPr>
          <w:rFonts w:ascii="Arial" w:eastAsia="Arial" w:hAnsi="Arial" w:cs="Arial"/>
          <w:sz w:val="20"/>
          <w:szCs w:val="20"/>
        </w:rPr>
        <w:t xml:space="preserve">O Tribunal Regional do Trabalho da 7ª Região, com sede na A. Santos Dumont, n° 3384, na cidade de Fortaleza, inscrito no CNPJ/MF sob o nº 03.235.270/0001-70 neste ato representado pela sua Diretora-Geral, </w:t>
      </w:r>
      <w:proofErr w:type="spellStart"/>
      <w:r>
        <w:rPr>
          <w:rFonts w:ascii="Arial" w:eastAsia="Arial" w:hAnsi="Arial" w:cs="Arial"/>
          <w:sz w:val="20"/>
          <w:szCs w:val="20"/>
        </w:rPr>
        <w:t>Srª</w:t>
      </w:r>
      <w:proofErr w:type="spellEnd"/>
      <w:r>
        <w:rPr>
          <w:rFonts w:ascii="Arial" w:eastAsia="Arial" w:hAnsi="Arial" w:cs="Arial"/>
          <w:sz w:val="20"/>
          <w:szCs w:val="20"/>
        </w:rPr>
        <w:t xml:space="preserve"> Neiara São Thiago Cysne Frota, nomeada pelo Ato da Presidência nº 72 de 07 de junho de 2018, publicado no Diário Eletrônico da Justiça do Trabalho de 08 de junho de 2018,  considerando o julgamento da licitação na modalidade de pregão, na forma eletrônica, para REGISTRO DE PREÇOS </w:t>
      </w:r>
      <w:r w:rsidRPr="00F65706">
        <w:rPr>
          <w:rFonts w:ascii="Arial" w:eastAsia="Arial" w:hAnsi="Arial" w:cs="Arial"/>
          <w:b/>
          <w:sz w:val="20"/>
          <w:szCs w:val="20"/>
        </w:rPr>
        <w:t xml:space="preserve">nº </w:t>
      </w:r>
      <w:r w:rsidR="00F65706" w:rsidRPr="00F65706">
        <w:rPr>
          <w:rFonts w:ascii="Arial" w:eastAsia="Arial" w:hAnsi="Arial" w:cs="Arial"/>
          <w:b/>
          <w:sz w:val="20"/>
          <w:szCs w:val="20"/>
        </w:rPr>
        <w:t>900</w:t>
      </w:r>
      <w:r w:rsidR="00EC67D8">
        <w:rPr>
          <w:rFonts w:ascii="Arial" w:eastAsia="Arial" w:hAnsi="Arial" w:cs="Arial"/>
          <w:b/>
          <w:sz w:val="20"/>
          <w:szCs w:val="20"/>
        </w:rPr>
        <w:t>12</w:t>
      </w:r>
      <w:r w:rsidRPr="00F65706">
        <w:rPr>
          <w:rFonts w:ascii="Arial" w:eastAsia="Arial" w:hAnsi="Arial" w:cs="Arial"/>
          <w:b/>
          <w:sz w:val="20"/>
          <w:szCs w:val="20"/>
        </w:rPr>
        <w:t>/202</w:t>
      </w:r>
      <w:r w:rsidR="00EC67D8">
        <w:rPr>
          <w:rFonts w:ascii="Arial" w:eastAsia="Arial" w:hAnsi="Arial" w:cs="Arial"/>
          <w:b/>
          <w:sz w:val="20"/>
          <w:szCs w:val="20"/>
        </w:rPr>
        <w:t>6</w:t>
      </w:r>
      <w:r>
        <w:rPr>
          <w:rFonts w:ascii="Arial" w:eastAsia="Arial" w:hAnsi="Arial" w:cs="Arial"/>
          <w:sz w:val="20"/>
          <w:szCs w:val="20"/>
        </w:rPr>
        <w:t xml:space="preserve">, </w:t>
      </w:r>
      <w:r w:rsidRPr="00F65706">
        <w:rPr>
          <w:rFonts w:ascii="Arial" w:eastAsia="Arial" w:hAnsi="Arial" w:cs="Arial"/>
          <w:sz w:val="20"/>
          <w:szCs w:val="20"/>
        </w:rPr>
        <w:t>processo administrativo</w:t>
      </w:r>
      <w:r>
        <w:rPr>
          <w:rFonts w:ascii="Arial" w:eastAsia="Arial" w:hAnsi="Arial" w:cs="Arial"/>
          <w:b/>
          <w:sz w:val="20"/>
          <w:szCs w:val="20"/>
        </w:rPr>
        <w:t xml:space="preserve"> n.º </w:t>
      </w:r>
      <w:r w:rsidR="00EC67D8">
        <w:rPr>
          <w:rFonts w:ascii="Arial" w:eastAsia="Arial" w:hAnsi="Arial" w:cs="Arial"/>
          <w:b/>
          <w:sz w:val="20"/>
          <w:szCs w:val="20"/>
        </w:rPr>
        <w:t>2418</w:t>
      </w:r>
      <w:r>
        <w:rPr>
          <w:rFonts w:ascii="Arial" w:eastAsia="Arial" w:hAnsi="Arial" w:cs="Arial"/>
          <w:b/>
          <w:sz w:val="20"/>
          <w:szCs w:val="20"/>
        </w:rPr>
        <w:t>/202</w:t>
      </w:r>
      <w:r w:rsidR="00EC67D8">
        <w:rPr>
          <w:rFonts w:ascii="Arial" w:eastAsia="Arial" w:hAnsi="Arial" w:cs="Arial"/>
          <w:b/>
          <w:sz w:val="20"/>
          <w:szCs w:val="20"/>
        </w:rPr>
        <w:t>4</w:t>
      </w:r>
      <w:r w:rsidR="00F65706">
        <w:rPr>
          <w:rFonts w:ascii="Arial" w:eastAsia="Arial" w:hAnsi="Arial" w:cs="Arial"/>
          <w:b/>
          <w:sz w:val="20"/>
          <w:szCs w:val="20"/>
        </w:rPr>
        <w:t>,</w:t>
      </w:r>
      <w:r>
        <w:rPr>
          <w:rFonts w:ascii="Arial" w:eastAsia="Arial" w:hAnsi="Arial" w:cs="Arial"/>
          <w:sz w:val="20"/>
          <w:szCs w:val="20"/>
        </w:rPr>
        <w:t xml:space="preserve"> </w:t>
      </w:r>
      <w:r w:rsidRPr="00F65706">
        <w:rPr>
          <w:rFonts w:ascii="Arial" w:eastAsia="Arial" w:hAnsi="Arial" w:cs="Arial"/>
          <w:sz w:val="20"/>
          <w:szCs w:val="20"/>
        </w:rPr>
        <w:t>RESOLVE</w:t>
      </w:r>
      <w:r>
        <w:rPr>
          <w:rFonts w:ascii="Arial" w:eastAsia="Arial" w:hAnsi="Arial" w:cs="Arial"/>
          <w:sz w:val="20"/>
          <w:szCs w:val="20"/>
        </w:rPr>
        <w:t xml:space="preser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00000009"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DO OBJETO</w:t>
      </w:r>
    </w:p>
    <w:p w14:paraId="0000000A" w14:textId="752F28E2" w:rsidR="009D4061" w:rsidRPr="0089320E" w:rsidRDefault="00175E10" w:rsidP="00CA4897">
      <w:pPr>
        <w:numPr>
          <w:ilvl w:val="1"/>
          <w:numId w:val="1"/>
        </w:numPr>
        <w:pBdr>
          <w:top w:val="nil"/>
          <w:left w:val="nil"/>
          <w:bottom w:val="nil"/>
          <w:right w:val="nil"/>
          <w:between w:val="nil"/>
        </w:pBdr>
        <w:spacing w:before="120" w:after="120" w:line="276" w:lineRule="auto"/>
        <w:ind w:left="0" w:firstLine="0"/>
        <w:jc w:val="both"/>
        <w:rPr>
          <w:rFonts w:ascii="Arial" w:hAnsi="Arial" w:cs="Arial"/>
          <w:sz w:val="20"/>
          <w:szCs w:val="20"/>
        </w:rPr>
      </w:pPr>
      <w:r w:rsidRPr="00EC67D8">
        <w:rPr>
          <w:rFonts w:ascii="Arial" w:eastAsia="Arial" w:hAnsi="Arial" w:cs="Arial"/>
          <w:sz w:val="20"/>
          <w:szCs w:val="20"/>
        </w:rPr>
        <w:t xml:space="preserve">A presente Ata tem por objeto o registro de preços para a eventual </w:t>
      </w:r>
      <w:r w:rsidR="00EC67D8" w:rsidRPr="00EC67D8">
        <w:rPr>
          <w:rFonts w:ascii="Arial" w:hAnsi="Arial" w:cs="Arial"/>
          <w:sz w:val="20"/>
          <w:szCs w:val="20"/>
        </w:rPr>
        <w:t xml:space="preserve">contratação de empresa especializada para execução de serviço técnico profissional de elaboração e fornecimento de </w:t>
      </w:r>
      <w:r w:rsidR="00EC67D8" w:rsidRPr="00EC67D8">
        <w:rPr>
          <w:rFonts w:ascii="Arial" w:hAnsi="Arial" w:cs="Arial"/>
          <w:b/>
          <w:bCs/>
          <w:sz w:val="20"/>
          <w:szCs w:val="20"/>
        </w:rPr>
        <w:t>Laudo Técnico de Inspeção Predial Conclusivo</w:t>
      </w:r>
      <w:r w:rsidR="00EC67D8" w:rsidRPr="00EC67D8">
        <w:rPr>
          <w:rFonts w:ascii="Arial" w:hAnsi="Arial" w:cs="Arial"/>
          <w:sz w:val="20"/>
          <w:szCs w:val="20"/>
        </w:rPr>
        <w:t xml:space="preserve"> de imóveis vinculados ao Tribunal Regional do Trabalho da 7ª Região, atendendo aos requisitos da </w:t>
      </w:r>
      <w:r w:rsidR="00EC67D8" w:rsidRPr="00EC67D8">
        <w:rPr>
          <w:rFonts w:ascii="Arial" w:hAnsi="Arial" w:cs="Arial"/>
          <w:b/>
          <w:bCs/>
          <w:sz w:val="20"/>
          <w:szCs w:val="20"/>
        </w:rPr>
        <w:t>Resolução CSJT nº 365/2023</w:t>
      </w:r>
      <w:r w:rsidR="00EC67D8" w:rsidRPr="00EC67D8">
        <w:rPr>
          <w:rFonts w:ascii="Arial" w:hAnsi="Arial" w:cs="Arial"/>
          <w:sz w:val="20"/>
          <w:szCs w:val="20"/>
        </w:rPr>
        <w:t>, conforme especificações, condições, quantidades e exigências estabelecidas no</w:t>
      </w:r>
      <w:r w:rsidR="00EC67D8">
        <w:rPr>
          <w:rFonts w:ascii="Arial" w:hAnsi="Arial" w:cs="Arial"/>
          <w:sz w:val="20"/>
          <w:szCs w:val="20"/>
        </w:rPr>
        <w:t xml:space="preserve"> </w:t>
      </w:r>
      <w:r w:rsidRPr="00EC67D8">
        <w:rPr>
          <w:rFonts w:ascii="Arial" w:eastAsia="Arial" w:hAnsi="Arial" w:cs="Arial"/>
          <w:sz w:val="20"/>
          <w:szCs w:val="20"/>
        </w:rPr>
        <w:t xml:space="preserve">Termo de Referência, anexo </w:t>
      </w:r>
      <w:r w:rsidR="00B86B6C" w:rsidRPr="00EC67D8">
        <w:rPr>
          <w:rFonts w:ascii="Arial" w:eastAsia="Arial" w:hAnsi="Arial" w:cs="Arial"/>
          <w:sz w:val="20"/>
          <w:szCs w:val="20"/>
        </w:rPr>
        <w:t>I</w:t>
      </w:r>
      <w:r w:rsidRPr="00EC67D8">
        <w:rPr>
          <w:rFonts w:ascii="Arial" w:eastAsia="Arial" w:hAnsi="Arial" w:cs="Arial"/>
          <w:sz w:val="20"/>
          <w:szCs w:val="20"/>
        </w:rPr>
        <w:t xml:space="preserve"> do edital de Licitação nº </w:t>
      </w:r>
      <w:r w:rsidR="00B86B6C" w:rsidRPr="00EC67D8">
        <w:rPr>
          <w:rFonts w:ascii="Arial" w:eastAsia="Arial" w:hAnsi="Arial" w:cs="Arial"/>
          <w:sz w:val="20"/>
          <w:szCs w:val="20"/>
        </w:rPr>
        <w:t>900</w:t>
      </w:r>
      <w:r w:rsidR="00EC67D8" w:rsidRPr="00EC67D8">
        <w:rPr>
          <w:rFonts w:ascii="Arial" w:eastAsia="Arial" w:hAnsi="Arial" w:cs="Arial"/>
          <w:sz w:val="20"/>
          <w:szCs w:val="20"/>
        </w:rPr>
        <w:t>12</w:t>
      </w:r>
      <w:r w:rsidRPr="00EC67D8">
        <w:rPr>
          <w:rFonts w:ascii="Arial" w:eastAsia="Arial" w:hAnsi="Arial" w:cs="Arial"/>
          <w:sz w:val="20"/>
          <w:szCs w:val="20"/>
        </w:rPr>
        <w:t>/20</w:t>
      </w:r>
      <w:r w:rsidR="00B86B6C" w:rsidRPr="00EC67D8">
        <w:rPr>
          <w:rFonts w:ascii="Arial" w:eastAsia="Arial" w:hAnsi="Arial" w:cs="Arial"/>
          <w:sz w:val="20"/>
          <w:szCs w:val="20"/>
        </w:rPr>
        <w:t>2</w:t>
      </w:r>
      <w:r w:rsidR="00EC67D8" w:rsidRPr="00EC67D8">
        <w:rPr>
          <w:rFonts w:ascii="Arial" w:eastAsia="Arial" w:hAnsi="Arial" w:cs="Arial"/>
          <w:sz w:val="20"/>
          <w:szCs w:val="20"/>
        </w:rPr>
        <w:t>6</w:t>
      </w:r>
      <w:r w:rsidRPr="00EC67D8">
        <w:rPr>
          <w:rFonts w:ascii="Arial" w:eastAsia="Arial" w:hAnsi="Arial" w:cs="Arial"/>
          <w:sz w:val="20"/>
          <w:szCs w:val="20"/>
        </w:rPr>
        <w:t>, que é parte integrante desta Ata, assim como as propostas cujos preços tenham sido registrados, independentemente de transcrição</w:t>
      </w:r>
      <w:r w:rsidRPr="00B86B6C">
        <w:rPr>
          <w:rFonts w:ascii="Arial" w:eastAsia="Arial" w:hAnsi="Arial" w:cs="Arial"/>
          <w:sz w:val="20"/>
          <w:szCs w:val="20"/>
        </w:rPr>
        <w:t>.</w:t>
      </w:r>
    </w:p>
    <w:p w14:paraId="0000000B"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DOS PREÇOS, ESPECIFICAÇÕES E QUANTITATIVOS</w:t>
      </w:r>
    </w:p>
    <w:p w14:paraId="0000000C" w14:textId="77777777" w:rsidR="009D4061" w:rsidRPr="002D4EC0" w:rsidRDefault="00CA4897">
      <w:pPr>
        <w:numPr>
          <w:ilvl w:val="1"/>
          <w:numId w:val="1"/>
        </w:numPr>
        <w:pBdr>
          <w:top w:val="nil"/>
          <w:left w:val="nil"/>
          <w:bottom w:val="nil"/>
          <w:right w:val="nil"/>
          <w:between w:val="nil"/>
        </w:pBdr>
        <w:spacing w:before="120" w:after="120" w:line="276" w:lineRule="auto"/>
        <w:ind w:left="0" w:firstLine="0"/>
        <w:jc w:val="both"/>
      </w:pPr>
      <w:sdt>
        <w:sdtPr>
          <w:tag w:val="goog_rdk_0"/>
          <w:id w:val="61156812"/>
        </w:sdtPr>
        <w:sdtContent/>
      </w:sdt>
      <w:r w:rsidR="00175E10">
        <w:rPr>
          <w:rFonts w:ascii="Arial" w:eastAsia="Arial" w:hAnsi="Arial" w:cs="Arial"/>
          <w:color w:val="000000"/>
          <w:sz w:val="20"/>
          <w:szCs w:val="20"/>
        </w:rPr>
        <w:t xml:space="preserve">O preço registrado, as especificações do objeto, </w:t>
      </w:r>
      <w:sdt>
        <w:sdtPr>
          <w:tag w:val="goog_rdk_1"/>
          <w:id w:val="-1006435852"/>
        </w:sdtPr>
        <w:sdtContent/>
      </w:sdt>
      <w:r w:rsidR="00175E10">
        <w:rPr>
          <w:rFonts w:ascii="Arial" w:eastAsia="Arial" w:hAnsi="Arial" w:cs="Arial"/>
          <w:color w:val="000000"/>
          <w:sz w:val="20"/>
          <w:szCs w:val="20"/>
        </w:rPr>
        <w:t xml:space="preserve">as quantidades mínimas e máximas de cada item, </w:t>
      </w:r>
      <w:proofErr w:type="gramStart"/>
      <w:r w:rsidR="00175E10">
        <w:rPr>
          <w:rFonts w:ascii="Arial" w:eastAsia="Arial" w:hAnsi="Arial" w:cs="Arial"/>
          <w:color w:val="000000"/>
          <w:sz w:val="20"/>
          <w:szCs w:val="20"/>
        </w:rPr>
        <w:t>fornecedor(</w:t>
      </w:r>
      <w:proofErr w:type="gramEnd"/>
      <w:r w:rsidR="00175E10">
        <w:rPr>
          <w:rFonts w:ascii="Arial" w:eastAsia="Arial" w:hAnsi="Arial" w:cs="Arial"/>
          <w:color w:val="000000"/>
          <w:sz w:val="20"/>
          <w:szCs w:val="20"/>
        </w:rPr>
        <w:t xml:space="preserve">es) e as demais condições ofertadas na(s) proposta(s) são as que seguem: </w:t>
      </w:r>
    </w:p>
    <w:p w14:paraId="108B3461" w14:textId="77777777" w:rsidR="00C95F4D" w:rsidRDefault="00C95F4D" w:rsidP="00C95F4D">
      <w:pPr>
        <w:widowControl w:val="0"/>
        <w:spacing w:line="360" w:lineRule="auto"/>
        <w:ind w:right="-30"/>
        <w:jc w:val="center"/>
        <w:rPr>
          <w:rFonts w:ascii="Arial" w:eastAsia="Arial" w:hAnsi="Arial" w:cs="Arial"/>
          <w:sz w:val="20"/>
          <w:szCs w:val="20"/>
        </w:rPr>
      </w:pPr>
    </w:p>
    <w:p w14:paraId="7F26DA22" w14:textId="77777777" w:rsidR="00C95F4D" w:rsidRDefault="00C95F4D" w:rsidP="00C95F4D">
      <w:pPr>
        <w:widowControl w:val="0"/>
        <w:spacing w:line="360" w:lineRule="auto"/>
        <w:ind w:right="-30"/>
        <w:jc w:val="center"/>
        <w:rPr>
          <w:rFonts w:ascii="Arial" w:eastAsia="Arial" w:hAnsi="Arial" w:cs="Arial"/>
          <w:i/>
          <w:sz w:val="20"/>
          <w:szCs w:val="20"/>
        </w:rPr>
      </w:pPr>
      <w:r>
        <w:rPr>
          <w:rFonts w:ascii="Arial" w:eastAsia="Arial" w:hAnsi="Arial" w:cs="Arial"/>
          <w:sz w:val="20"/>
          <w:szCs w:val="20"/>
        </w:rPr>
        <w:t xml:space="preserve">Fornecedor </w:t>
      </w:r>
      <w:r w:rsidRPr="00B86B6C">
        <w:rPr>
          <w:rFonts w:ascii="Arial" w:eastAsia="Arial" w:hAnsi="Arial" w:cs="Arial"/>
          <w:i/>
          <w:sz w:val="20"/>
          <w:szCs w:val="20"/>
          <w:highlight w:val="yellow"/>
        </w:rPr>
        <w:t>(razão social, CNPJ/MF, endereço, contatos, representante)</w:t>
      </w:r>
    </w:p>
    <w:tbl>
      <w:tblPr>
        <w:tblW w:w="5000" w:type="pct"/>
        <w:tblCellMar>
          <w:left w:w="70" w:type="dxa"/>
          <w:right w:w="70" w:type="dxa"/>
        </w:tblCellMar>
        <w:tblLook w:val="04A0" w:firstRow="1" w:lastRow="0" w:firstColumn="1" w:lastColumn="0" w:noHBand="0" w:noVBand="1"/>
      </w:tblPr>
      <w:tblGrid>
        <w:gridCol w:w="597"/>
        <w:gridCol w:w="5010"/>
        <w:gridCol w:w="621"/>
        <w:gridCol w:w="825"/>
        <w:gridCol w:w="951"/>
        <w:gridCol w:w="1057"/>
      </w:tblGrid>
      <w:tr w:rsidR="00CA4897" w:rsidRPr="00CA4897" w14:paraId="7E62E9E8" w14:textId="77777777" w:rsidTr="00CA4897">
        <w:trPr>
          <w:trHeight w:val="792"/>
        </w:trPr>
        <w:tc>
          <w:tcPr>
            <w:tcW w:w="329" w:type="pct"/>
            <w:tcBorders>
              <w:top w:val="single" w:sz="4" w:space="0" w:color="auto"/>
              <w:left w:val="single" w:sz="4" w:space="0" w:color="auto"/>
              <w:bottom w:val="single" w:sz="4" w:space="0" w:color="auto"/>
              <w:right w:val="single" w:sz="4" w:space="0" w:color="auto"/>
            </w:tcBorders>
            <w:shd w:val="clear" w:color="CCCCFF" w:fill="C0C0C0"/>
            <w:vAlign w:val="center"/>
            <w:hideMark/>
          </w:tcPr>
          <w:p w14:paraId="0AB360B6" w14:textId="77777777" w:rsidR="00CA4897" w:rsidRPr="00CA4897" w:rsidRDefault="00CA4897" w:rsidP="00CA4897">
            <w:pPr>
              <w:rPr>
                <w:rFonts w:ascii="Arial Narrow" w:eastAsia="Times New Roman" w:hAnsi="Arial Narrow" w:cs="Arial"/>
                <w:b/>
                <w:bCs/>
                <w:sz w:val="20"/>
                <w:szCs w:val="20"/>
              </w:rPr>
            </w:pPr>
            <w:r w:rsidRPr="00CA4897">
              <w:rPr>
                <w:rFonts w:ascii="Arial Narrow" w:eastAsia="Times New Roman" w:hAnsi="Arial Narrow" w:cs="Arial"/>
                <w:b/>
                <w:bCs/>
                <w:sz w:val="20"/>
                <w:szCs w:val="20"/>
              </w:rPr>
              <w:t>N°.</w:t>
            </w:r>
          </w:p>
        </w:tc>
        <w:tc>
          <w:tcPr>
            <w:tcW w:w="2765" w:type="pct"/>
            <w:tcBorders>
              <w:top w:val="single" w:sz="4" w:space="0" w:color="auto"/>
              <w:left w:val="nil"/>
              <w:bottom w:val="single" w:sz="4" w:space="0" w:color="auto"/>
              <w:right w:val="single" w:sz="4" w:space="0" w:color="auto"/>
            </w:tcBorders>
            <w:shd w:val="clear" w:color="CCCCFF" w:fill="C0C0C0"/>
            <w:vAlign w:val="center"/>
            <w:hideMark/>
          </w:tcPr>
          <w:p w14:paraId="1E91CE22" w14:textId="77777777" w:rsidR="00CA4897" w:rsidRPr="00CA4897" w:rsidRDefault="00CA4897" w:rsidP="00CA4897">
            <w:pPr>
              <w:rPr>
                <w:rFonts w:ascii="Arial Narrow" w:eastAsia="Times New Roman" w:hAnsi="Arial Narrow" w:cs="Arial"/>
                <w:b/>
                <w:bCs/>
                <w:sz w:val="20"/>
                <w:szCs w:val="20"/>
              </w:rPr>
            </w:pPr>
            <w:r w:rsidRPr="00CA4897">
              <w:rPr>
                <w:rFonts w:ascii="Arial Narrow" w:eastAsia="Times New Roman" w:hAnsi="Arial Narrow" w:cs="Arial"/>
                <w:b/>
                <w:bCs/>
                <w:sz w:val="20"/>
                <w:szCs w:val="20"/>
              </w:rPr>
              <w:t>DESCRIÇÃO DOS SERVIÇOS</w:t>
            </w:r>
          </w:p>
        </w:tc>
        <w:tc>
          <w:tcPr>
            <w:tcW w:w="343" w:type="pct"/>
            <w:tcBorders>
              <w:top w:val="single" w:sz="4" w:space="0" w:color="auto"/>
              <w:left w:val="nil"/>
              <w:bottom w:val="single" w:sz="4" w:space="0" w:color="auto"/>
              <w:right w:val="single" w:sz="4" w:space="0" w:color="auto"/>
            </w:tcBorders>
            <w:shd w:val="clear" w:color="CCCCFF" w:fill="C0C0C0"/>
            <w:vAlign w:val="center"/>
            <w:hideMark/>
          </w:tcPr>
          <w:p w14:paraId="5A9DA1AD" w14:textId="77777777" w:rsidR="00CA4897" w:rsidRPr="00CA4897" w:rsidRDefault="00CA4897" w:rsidP="00CA4897">
            <w:pPr>
              <w:rPr>
                <w:rFonts w:ascii="Arial Narrow" w:eastAsia="Times New Roman" w:hAnsi="Arial Narrow" w:cs="Arial"/>
                <w:b/>
                <w:bCs/>
                <w:sz w:val="20"/>
                <w:szCs w:val="20"/>
              </w:rPr>
            </w:pPr>
            <w:r w:rsidRPr="00CA4897">
              <w:rPr>
                <w:rFonts w:ascii="Arial Narrow" w:eastAsia="Times New Roman" w:hAnsi="Arial Narrow" w:cs="Arial"/>
                <w:b/>
                <w:bCs/>
                <w:sz w:val="20"/>
                <w:szCs w:val="20"/>
              </w:rPr>
              <w:t>UND</w:t>
            </w:r>
          </w:p>
        </w:tc>
        <w:tc>
          <w:tcPr>
            <w:tcW w:w="455" w:type="pct"/>
            <w:tcBorders>
              <w:top w:val="single" w:sz="4" w:space="0" w:color="auto"/>
              <w:left w:val="nil"/>
              <w:bottom w:val="single" w:sz="4" w:space="0" w:color="auto"/>
              <w:right w:val="single" w:sz="4" w:space="0" w:color="auto"/>
            </w:tcBorders>
            <w:shd w:val="clear" w:color="CCCCFF" w:fill="C0C0C0"/>
            <w:vAlign w:val="center"/>
            <w:hideMark/>
          </w:tcPr>
          <w:p w14:paraId="6C5053F2" w14:textId="77777777" w:rsidR="00CA4897" w:rsidRPr="00CA4897" w:rsidRDefault="00CA4897" w:rsidP="00CA4897">
            <w:pPr>
              <w:jc w:val="center"/>
              <w:rPr>
                <w:rFonts w:ascii="Arial Narrow" w:eastAsia="Times New Roman" w:hAnsi="Arial Narrow" w:cs="Arial"/>
                <w:b/>
                <w:bCs/>
                <w:sz w:val="20"/>
                <w:szCs w:val="20"/>
              </w:rPr>
            </w:pPr>
            <w:r w:rsidRPr="00CA4897">
              <w:rPr>
                <w:rFonts w:ascii="Arial Narrow" w:eastAsia="Times New Roman" w:hAnsi="Arial Narrow" w:cs="Arial"/>
                <w:b/>
                <w:bCs/>
                <w:sz w:val="20"/>
                <w:szCs w:val="20"/>
              </w:rPr>
              <w:t>QTD.</w:t>
            </w:r>
          </w:p>
        </w:tc>
        <w:tc>
          <w:tcPr>
            <w:tcW w:w="524" w:type="pct"/>
            <w:tcBorders>
              <w:top w:val="single" w:sz="4" w:space="0" w:color="auto"/>
              <w:left w:val="nil"/>
              <w:bottom w:val="single" w:sz="4" w:space="0" w:color="auto"/>
              <w:right w:val="single" w:sz="4" w:space="0" w:color="auto"/>
            </w:tcBorders>
            <w:shd w:val="clear" w:color="CCCCFF" w:fill="C0C0C0"/>
            <w:vAlign w:val="center"/>
            <w:hideMark/>
          </w:tcPr>
          <w:p w14:paraId="60B14C8B" w14:textId="77777777" w:rsidR="00CA4897" w:rsidRPr="00CA4897" w:rsidRDefault="00CA4897" w:rsidP="00CA4897">
            <w:pPr>
              <w:jc w:val="center"/>
              <w:rPr>
                <w:rFonts w:ascii="Arial Narrow" w:eastAsia="Times New Roman" w:hAnsi="Arial Narrow" w:cs="Arial"/>
                <w:b/>
                <w:bCs/>
                <w:sz w:val="20"/>
                <w:szCs w:val="20"/>
              </w:rPr>
            </w:pPr>
            <w:r w:rsidRPr="00CA4897">
              <w:rPr>
                <w:rFonts w:ascii="Arial Narrow" w:eastAsia="Times New Roman" w:hAnsi="Arial Narrow" w:cs="Arial"/>
                <w:b/>
                <w:bCs/>
                <w:sz w:val="20"/>
                <w:szCs w:val="20"/>
              </w:rPr>
              <w:t>Valor Unitário do Item</w:t>
            </w:r>
          </w:p>
        </w:tc>
        <w:tc>
          <w:tcPr>
            <w:tcW w:w="583" w:type="pct"/>
            <w:tcBorders>
              <w:top w:val="single" w:sz="4" w:space="0" w:color="auto"/>
              <w:left w:val="nil"/>
              <w:bottom w:val="single" w:sz="4" w:space="0" w:color="auto"/>
              <w:right w:val="single" w:sz="4" w:space="0" w:color="auto"/>
            </w:tcBorders>
            <w:shd w:val="clear" w:color="CCCCFF" w:fill="C0C0C0"/>
            <w:vAlign w:val="center"/>
            <w:hideMark/>
          </w:tcPr>
          <w:p w14:paraId="0CD2646A" w14:textId="77777777" w:rsidR="00CA4897" w:rsidRPr="00CA4897" w:rsidRDefault="00CA4897" w:rsidP="00CA4897">
            <w:pPr>
              <w:jc w:val="center"/>
              <w:rPr>
                <w:rFonts w:ascii="Arial Narrow" w:eastAsia="Times New Roman" w:hAnsi="Arial Narrow" w:cs="Arial"/>
                <w:b/>
                <w:bCs/>
                <w:sz w:val="20"/>
                <w:szCs w:val="20"/>
              </w:rPr>
            </w:pPr>
            <w:r w:rsidRPr="00CA4897">
              <w:rPr>
                <w:rFonts w:ascii="Arial Narrow" w:eastAsia="Times New Roman" w:hAnsi="Arial Narrow" w:cs="Arial"/>
                <w:b/>
                <w:bCs/>
                <w:sz w:val="20"/>
                <w:szCs w:val="20"/>
              </w:rPr>
              <w:t>Valor Total do Item</w:t>
            </w:r>
          </w:p>
        </w:tc>
      </w:tr>
      <w:tr w:rsidR="00CA4897" w:rsidRPr="00CA4897" w14:paraId="3C533D31" w14:textId="77777777" w:rsidTr="00CA4897">
        <w:trPr>
          <w:trHeight w:val="510"/>
        </w:trPr>
        <w:tc>
          <w:tcPr>
            <w:tcW w:w="329" w:type="pct"/>
            <w:tcBorders>
              <w:top w:val="nil"/>
              <w:left w:val="single" w:sz="4" w:space="0" w:color="auto"/>
              <w:bottom w:val="single" w:sz="4" w:space="0" w:color="auto"/>
              <w:right w:val="single" w:sz="4" w:space="0" w:color="auto"/>
            </w:tcBorders>
            <w:shd w:val="clear" w:color="000000" w:fill="F8CBAD"/>
            <w:vAlign w:val="center"/>
            <w:hideMark/>
          </w:tcPr>
          <w:p w14:paraId="33B45A59" w14:textId="77777777" w:rsidR="00CA4897" w:rsidRPr="00CA4897" w:rsidRDefault="00CA4897" w:rsidP="00CA4897">
            <w:pPr>
              <w:jc w:val="center"/>
              <w:rPr>
                <w:rFonts w:ascii="Arial Narrow" w:eastAsia="Times New Roman" w:hAnsi="Arial Narrow" w:cs="Arial"/>
                <w:b/>
                <w:bCs/>
                <w:sz w:val="20"/>
                <w:szCs w:val="20"/>
              </w:rPr>
            </w:pPr>
            <w:r w:rsidRPr="00CA4897">
              <w:rPr>
                <w:rFonts w:ascii="Arial Narrow" w:eastAsia="Times New Roman" w:hAnsi="Arial Narrow" w:cs="Arial"/>
                <w:b/>
                <w:bCs/>
                <w:sz w:val="20"/>
                <w:szCs w:val="20"/>
              </w:rPr>
              <w:t>1</w:t>
            </w:r>
          </w:p>
        </w:tc>
        <w:tc>
          <w:tcPr>
            <w:tcW w:w="4671" w:type="pct"/>
            <w:gridSpan w:val="5"/>
            <w:tcBorders>
              <w:top w:val="nil"/>
              <w:left w:val="nil"/>
              <w:bottom w:val="single" w:sz="4" w:space="0" w:color="auto"/>
              <w:right w:val="single" w:sz="4" w:space="0" w:color="000000"/>
            </w:tcBorders>
            <w:shd w:val="clear" w:color="000000" w:fill="F8CBAD"/>
            <w:vAlign w:val="center"/>
            <w:hideMark/>
          </w:tcPr>
          <w:p w14:paraId="28FAE5EB" w14:textId="77777777" w:rsidR="00CA4897" w:rsidRPr="00CA4897" w:rsidRDefault="00CA4897" w:rsidP="00CA4897">
            <w:pPr>
              <w:rPr>
                <w:rFonts w:ascii="Arial Narrow" w:eastAsia="Times New Roman" w:hAnsi="Arial Narrow" w:cs="Arial"/>
                <w:b/>
                <w:bCs/>
                <w:sz w:val="20"/>
                <w:szCs w:val="20"/>
              </w:rPr>
            </w:pPr>
            <w:r w:rsidRPr="00CA4897">
              <w:rPr>
                <w:rFonts w:ascii="Arial Narrow" w:eastAsia="Times New Roman" w:hAnsi="Arial Narrow" w:cs="Arial"/>
                <w:b/>
                <w:bCs/>
                <w:sz w:val="20"/>
                <w:szCs w:val="20"/>
              </w:rPr>
              <w:t>ELABORAÇÃO DE LAUDO TÉCNICO DE INSPEÇÃO PREDIAL CONCLUSIVO</w:t>
            </w:r>
          </w:p>
        </w:tc>
      </w:tr>
      <w:tr w:rsidR="00CA4897" w:rsidRPr="00CA4897" w14:paraId="4D10B912" w14:textId="77777777" w:rsidTr="00CA4897">
        <w:trPr>
          <w:trHeight w:val="510"/>
        </w:trPr>
        <w:tc>
          <w:tcPr>
            <w:tcW w:w="329" w:type="pct"/>
            <w:tcBorders>
              <w:top w:val="nil"/>
              <w:left w:val="single" w:sz="4" w:space="0" w:color="auto"/>
              <w:bottom w:val="single" w:sz="4" w:space="0" w:color="auto"/>
              <w:right w:val="single" w:sz="4" w:space="0" w:color="auto"/>
            </w:tcBorders>
            <w:shd w:val="clear" w:color="000000" w:fill="C6E0B4"/>
            <w:vAlign w:val="center"/>
            <w:hideMark/>
          </w:tcPr>
          <w:p w14:paraId="605F4BF4" w14:textId="77777777" w:rsidR="00CA4897" w:rsidRPr="00CA4897" w:rsidRDefault="00CA4897" w:rsidP="00CA4897">
            <w:pPr>
              <w:jc w:val="center"/>
              <w:rPr>
                <w:rFonts w:ascii="Arial Narrow" w:eastAsia="Times New Roman" w:hAnsi="Arial Narrow" w:cs="Arial"/>
                <w:b/>
                <w:bCs/>
                <w:sz w:val="20"/>
                <w:szCs w:val="20"/>
              </w:rPr>
            </w:pPr>
            <w:r w:rsidRPr="00CA4897">
              <w:rPr>
                <w:rFonts w:ascii="Arial Narrow" w:eastAsia="Times New Roman" w:hAnsi="Arial Narrow" w:cs="Arial"/>
                <w:b/>
                <w:bCs/>
                <w:sz w:val="20"/>
                <w:szCs w:val="20"/>
              </w:rPr>
              <w:t>1.1</w:t>
            </w:r>
          </w:p>
        </w:tc>
        <w:tc>
          <w:tcPr>
            <w:tcW w:w="4671" w:type="pct"/>
            <w:gridSpan w:val="5"/>
            <w:tcBorders>
              <w:top w:val="single" w:sz="4" w:space="0" w:color="auto"/>
              <w:left w:val="nil"/>
              <w:bottom w:val="single" w:sz="4" w:space="0" w:color="auto"/>
              <w:right w:val="single" w:sz="4" w:space="0" w:color="000000"/>
            </w:tcBorders>
            <w:shd w:val="clear" w:color="000000" w:fill="C6E0B4"/>
            <w:vAlign w:val="center"/>
            <w:hideMark/>
          </w:tcPr>
          <w:p w14:paraId="42F1B099" w14:textId="77777777" w:rsidR="00CA4897" w:rsidRPr="00CA4897" w:rsidRDefault="00CA4897" w:rsidP="00CA4897">
            <w:pPr>
              <w:rPr>
                <w:rFonts w:ascii="Arial Narrow" w:eastAsia="Times New Roman" w:hAnsi="Arial Narrow" w:cs="Arial"/>
                <w:b/>
                <w:bCs/>
                <w:sz w:val="20"/>
                <w:szCs w:val="20"/>
              </w:rPr>
            </w:pPr>
            <w:r w:rsidRPr="00CA4897">
              <w:rPr>
                <w:rFonts w:ascii="Arial Narrow" w:eastAsia="Times New Roman" w:hAnsi="Arial Narrow" w:cs="Arial"/>
                <w:b/>
                <w:bCs/>
                <w:sz w:val="20"/>
                <w:szCs w:val="20"/>
              </w:rPr>
              <w:t>MUNICÍPIOS DE FORTALEZA, PACAJUS, TIANGUÁ e QUIXADÁ (BDI 01)</w:t>
            </w:r>
          </w:p>
        </w:tc>
      </w:tr>
      <w:tr w:rsidR="00CA4897" w:rsidRPr="00CA4897" w14:paraId="3888D377" w14:textId="77777777" w:rsidTr="00CA4897">
        <w:trPr>
          <w:trHeight w:val="510"/>
        </w:trPr>
        <w:tc>
          <w:tcPr>
            <w:tcW w:w="329" w:type="pct"/>
            <w:tcBorders>
              <w:top w:val="nil"/>
              <w:left w:val="single" w:sz="4" w:space="0" w:color="auto"/>
              <w:bottom w:val="single" w:sz="4" w:space="0" w:color="auto"/>
              <w:right w:val="single" w:sz="4" w:space="0" w:color="auto"/>
            </w:tcBorders>
            <w:shd w:val="clear" w:color="auto" w:fill="auto"/>
            <w:vAlign w:val="center"/>
            <w:hideMark/>
          </w:tcPr>
          <w:p w14:paraId="1598B910"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1.1.1</w:t>
            </w:r>
          </w:p>
        </w:tc>
        <w:tc>
          <w:tcPr>
            <w:tcW w:w="2765" w:type="pct"/>
            <w:tcBorders>
              <w:top w:val="nil"/>
              <w:left w:val="nil"/>
              <w:bottom w:val="single" w:sz="4" w:space="0" w:color="auto"/>
              <w:right w:val="single" w:sz="4" w:space="0" w:color="auto"/>
            </w:tcBorders>
            <w:shd w:val="clear" w:color="auto" w:fill="auto"/>
            <w:vAlign w:val="center"/>
            <w:hideMark/>
          </w:tcPr>
          <w:p w14:paraId="1F006645" w14:textId="77777777" w:rsidR="00CA4897" w:rsidRPr="00CA4897" w:rsidRDefault="00CA4897" w:rsidP="00CA4897">
            <w:pPr>
              <w:rPr>
                <w:rFonts w:ascii="Arial Narrow" w:eastAsia="Times New Roman" w:hAnsi="Arial Narrow" w:cs="Arial"/>
                <w:sz w:val="20"/>
                <w:szCs w:val="20"/>
              </w:rPr>
            </w:pPr>
            <w:r w:rsidRPr="00CA4897">
              <w:rPr>
                <w:rFonts w:ascii="Arial Narrow" w:eastAsia="Times New Roman" w:hAnsi="Arial Narrow" w:cs="Arial"/>
                <w:sz w:val="20"/>
                <w:szCs w:val="20"/>
              </w:rPr>
              <w:t>Casa Sede TRT 7ª Região</w:t>
            </w:r>
          </w:p>
        </w:tc>
        <w:tc>
          <w:tcPr>
            <w:tcW w:w="343" w:type="pct"/>
            <w:tcBorders>
              <w:top w:val="nil"/>
              <w:left w:val="nil"/>
              <w:bottom w:val="single" w:sz="4" w:space="0" w:color="auto"/>
              <w:right w:val="single" w:sz="4" w:space="0" w:color="auto"/>
            </w:tcBorders>
            <w:shd w:val="clear" w:color="auto" w:fill="auto"/>
            <w:vAlign w:val="center"/>
            <w:hideMark/>
          </w:tcPr>
          <w:p w14:paraId="6D60152B"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M²</w:t>
            </w:r>
          </w:p>
        </w:tc>
        <w:tc>
          <w:tcPr>
            <w:tcW w:w="455" w:type="pct"/>
            <w:tcBorders>
              <w:top w:val="nil"/>
              <w:left w:val="nil"/>
              <w:bottom w:val="single" w:sz="4" w:space="0" w:color="auto"/>
              <w:right w:val="single" w:sz="4" w:space="0" w:color="auto"/>
            </w:tcBorders>
            <w:shd w:val="clear" w:color="auto" w:fill="auto"/>
            <w:vAlign w:val="center"/>
            <w:hideMark/>
          </w:tcPr>
          <w:p w14:paraId="1A1903FE"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2.355,96</w:t>
            </w:r>
          </w:p>
        </w:tc>
        <w:tc>
          <w:tcPr>
            <w:tcW w:w="524" w:type="pct"/>
            <w:tcBorders>
              <w:top w:val="nil"/>
              <w:left w:val="nil"/>
              <w:bottom w:val="single" w:sz="4" w:space="0" w:color="auto"/>
              <w:right w:val="single" w:sz="4" w:space="0" w:color="auto"/>
            </w:tcBorders>
            <w:shd w:val="clear" w:color="auto" w:fill="auto"/>
            <w:vAlign w:val="center"/>
            <w:hideMark/>
          </w:tcPr>
          <w:p w14:paraId="4CBAD401"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c>
          <w:tcPr>
            <w:tcW w:w="583" w:type="pct"/>
            <w:tcBorders>
              <w:top w:val="nil"/>
              <w:left w:val="nil"/>
              <w:bottom w:val="single" w:sz="4" w:space="0" w:color="auto"/>
              <w:right w:val="single" w:sz="4" w:space="0" w:color="auto"/>
            </w:tcBorders>
            <w:shd w:val="clear" w:color="auto" w:fill="auto"/>
            <w:noWrap/>
            <w:vAlign w:val="center"/>
            <w:hideMark/>
          </w:tcPr>
          <w:p w14:paraId="36641510"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r>
      <w:tr w:rsidR="00CA4897" w:rsidRPr="00CA4897" w14:paraId="38D81929" w14:textId="77777777" w:rsidTr="00CA4897">
        <w:trPr>
          <w:trHeight w:val="510"/>
        </w:trPr>
        <w:tc>
          <w:tcPr>
            <w:tcW w:w="329" w:type="pct"/>
            <w:tcBorders>
              <w:top w:val="nil"/>
              <w:left w:val="single" w:sz="4" w:space="0" w:color="auto"/>
              <w:bottom w:val="single" w:sz="4" w:space="0" w:color="auto"/>
              <w:right w:val="single" w:sz="4" w:space="0" w:color="auto"/>
            </w:tcBorders>
            <w:shd w:val="clear" w:color="auto" w:fill="auto"/>
            <w:vAlign w:val="center"/>
            <w:hideMark/>
          </w:tcPr>
          <w:p w14:paraId="74254F19"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1.1.2</w:t>
            </w:r>
          </w:p>
        </w:tc>
        <w:tc>
          <w:tcPr>
            <w:tcW w:w="2765" w:type="pct"/>
            <w:tcBorders>
              <w:top w:val="nil"/>
              <w:left w:val="nil"/>
              <w:bottom w:val="single" w:sz="4" w:space="0" w:color="auto"/>
              <w:right w:val="single" w:sz="4" w:space="0" w:color="auto"/>
            </w:tcBorders>
            <w:shd w:val="clear" w:color="auto" w:fill="auto"/>
            <w:vAlign w:val="center"/>
            <w:hideMark/>
          </w:tcPr>
          <w:p w14:paraId="56586E3D" w14:textId="77777777" w:rsidR="00CA4897" w:rsidRPr="00CA4897" w:rsidRDefault="00CA4897" w:rsidP="00CA4897">
            <w:pPr>
              <w:rPr>
                <w:rFonts w:ascii="Arial Narrow" w:eastAsia="Times New Roman" w:hAnsi="Arial Narrow" w:cs="Arial"/>
                <w:sz w:val="20"/>
                <w:szCs w:val="20"/>
              </w:rPr>
            </w:pPr>
            <w:r w:rsidRPr="00CA4897">
              <w:rPr>
                <w:rFonts w:ascii="Arial Narrow" w:eastAsia="Times New Roman" w:hAnsi="Arial Narrow" w:cs="Arial"/>
                <w:sz w:val="20"/>
                <w:szCs w:val="20"/>
              </w:rPr>
              <w:t>Edifício Anexo I TRT 7ª Região</w:t>
            </w:r>
          </w:p>
        </w:tc>
        <w:tc>
          <w:tcPr>
            <w:tcW w:w="343" w:type="pct"/>
            <w:tcBorders>
              <w:top w:val="nil"/>
              <w:left w:val="nil"/>
              <w:bottom w:val="single" w:sz="4" w:space="0" w:color="auto"/>
              <w:right w:val="single" w:sz="4" w:space="0" w:color="auto"/>
            </w:tcBorders>
            <w:shd w:val="clear" w:color="auto" w:fill="auto"/>
            <w:vAlign w:val="center"/>
            <w:hideMark/>
          </w:tcPr>
          <w:p w14:paraId="1989F341"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M²</w:t>
            </w:r>
          </w:p>
        </w:tc>
        <w:tc>
          <w:tcPr>
            <w:tcW w:w="455" w:type="pct"/>
            <w:tcBorders>
              <w:top w:val="nil"/>
              <w:left w:val="nil"/>
              <w:bottom w:val="single" w:sz="4" w:space="0" w:color="auto"/>
              <w:right w:val="single" w:sz="4" w:space="0" w:color="auto"/>
            </w:tcBorders>
            <w:shd w:val="clear" w:color="auto" w:fill="auto"/>
            <w:vAlign w:val="center"/>
            <w:hideMark/>
          </w:tcPr>
          <w:p w14:paraId="5C45B6F7"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4.504,67</w:t>
            </w:r>
          </w:p>
        </w:tc>
        <w:tc>
          <w:tcPr>
            <w:tcW w:w="524" w:type="pct"/>
            <w:tcBorders>
              <w:top w:val="nil"/>
              <w:left w:val="nil"/>
              <w:bottom w:val="single" w:sz="4" w:space="0" w:color="auto"/>
              <w:right w:val="single" w:sz="4" w:space="0" w:color="auto"/>
            </w:tcBorders>
            <w:shd w:val="clear" w:color="auto" w:fill="auto"/>
            <w:vAlign w:val="center"/>
            <w:hideMark/>
          </w:tcPr>
          <w:p w14:paraId="7988FDF7"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c>
          <w:tcPr>
            <w:tcW w:w="583" w:type="pct"/>
            <w:tcBorders>
              <w:top w:val="nil"/>
              <w:left w:val="nil"/>
              <w:bottom w:val="single" w:sz="4" w:space="0" w:color="auto"/>
              <w:right w:val="single" w:sz="4" w:space="0" w:color="auto"/>
            </w:tcBorders>
            <w:shd w:val="clear" w:color="auto" w:fill="auto"/>
            <w:noWrap/>
            <w:vAlign w:val="center"/>
            <w:hideMark/>
          </w:tcPr>
          <w:p w14:paraId="1783DD93"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r>
      <w:tr w:rsidR="00CA4897" w:rsidRPr="00CA4897" w14:paraId="6BBEC406" w14:textId="77777777" w:rsidTr="00CA4897">
        <w:trPr>
          <w:trHeight w:val="510"/>
        </w:trPr>
        <w:tc>
          <w:tcPr>
            <w:tcW w:w="329" w:type="pct"/>
            <w:tcBorders>
              <w:top w:val="nil"/>
              <w:left w:val="single" w:sz="4" w:space="0" w:color="auto"/>
              <w:bottom w:val="single" w:sz="4" w:space="0" w:color="auto"/>
              <w:right w:val="single" w:sz="4" w:space="0" w:color="auto"/>
            </w:tcBorders>
            <w:shd w:val="clear" w:color="auto" w:fill="auto"/>
            <w:vAlign w:val="center"/>
            <w:hideMark/>
          </w:tcPr>
          <w:p w14:paraId="5549FBAE"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1.1.3</w:t>
            </w:r>
          </w:p>
        </w:tc>
        <w:tc>
          <w:tcPr>
            <w:tcW w:w="2765" w:type="pct"/>
            <w:tcBorders>
              <w:top w:val="nil"/>
              <w:left w:val="nil"/>
              <w:bottom w:val="single" w:sz="4" w:space="0" w:color="auto"/>
              <w:right w:val="single" w:sz="4" w:space="0" w:color="auto"/>
            </w:tcBorders>
            <w:shd w:val="clear" w:color="auto" w:fill="auto"/>
            <w:vAlign w:val="center"/>
            <w:hideMark/>
          </w:tcPr>
          <w:p w14:paraId="12492E7C" w14:textId="77777777" w:rsidR="00CA4897" w:rsidRPr="00CA4897" w:rsidRDefault="00CA4897" w:rsidP="00CA4897">
            <w:pPr>
              <w:rPr>
                <w:rFonts w:ascii="Arial Narrow" w:eastAsia="Times New Roman" w:hAnsi="Arial Narrow" w:cs="Arial"/>
                <w:sz w:val="20"/>
                <w:szCs w:val="20"/>
              </w:rPr>
            </w:pPr>
            <w:r w:rsidRPr="00CA4897">
              <w:rPr>
                <w:rFonts w:ascii="Arial Narrow" w:eastAsia="Times New Roman" w:hAnsi="Arial Narrow" w:cs="Arial"/>
                <w:sz w:val="20"/>
                <w:szCs w:val="20"/>
              </w:rPr>
              <w:t>Edifício Anexo II TRT 7ª Região</w:t>
            </w:r>
          </w:p>
        </w:tc>
        <w:tc>
          <w:tcPr>
            <w:tcW w:w="343" w:type="pct"/>
            <w:tcBorders>
              <w:top w:val="nil"/>
              <w:left w:val="nil"/>
              <w:bottom w:val="single" w:sz="4" w:space="0" w:color="auto"/>
              <w:right w:val="single" w:sz="4" w:space="0" w:color="auto"/>
            </w:tcBorders>
            <w:shd w:val="clear" w:color="auto" w:fill="auto"/>
            <w:vAlign w:val="center"/>
            <w:hideMark/>
          </w:tcPr>
          <w:p w14:paraId="1C891095"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M²</w:t>
            </w:r>
          </w:p>
        </w:tc>
        <w:tc>
          <w:tcPr>
            <w:tcW w:w="455" w:type="pct"/>
            <w:tcBorders>
              <w:top w:val="nil"/>
              <w:left w:val="nil"/>
              <w:bottom w:val="single" w:sz="4" w:space="0" w:color="auto"/>
              <w:right w:val="single" w:sz="4" w:space="0" w:color="auto"/>
            </w:tcBorders>
            <w:shd w:val="clear" w:color="auto" w:fill="auto"/>
            <w:vAlign w:val="center"/>
            <w:hideMark/>
          </w:tcPr>
          <w:p w14:paraId="514DED2F"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7.773,55</w:t>
            </w:r>
          </w:p>
        </w:tc>
        <w:tc>
          <w:tcPr>
            <w:tcW w:w="524" w:type="pct"/>
            <w:tcBorders>
              <w:top w:val="nil"/>
              <w:left w:val="nil"/>
              <w:bottom w:val="single" w:sz="4" w:space="0" w:color="auto"/>
              <w:right w:val="single" w:sz="4" w:space="0" w:color="auto"/>
            </w:tcBorders>
            <w:shd w:val="clear" w:color="auto" w:fill="auto"/>
            <w:vAlign w:val="center"/>
            <w:hideMark/>
          </w:tcPr>
          <w:p w14:paraId="359101BC"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c>
          <w:tcPr>
            <w:tcW w:w="583" w:type="pct"/>
            <w:tcBorders>
              <w:top w:val="nil"/>
              <w:left w:val="nil"/>
              <w:bottom w:val="single" w:sz="4" w:space="0" w:color="auto"/>
              <w:right w:val="single" w:sz="4" w:space="0" w:color="auto"/>
            </w:tcBorders>
            <w:shd w:val="clear" w:color="auto" w:fill="auto"/>
            <w:noWrap/>
            <w:vAlign w:val="center"/>
            <w:hideMark/>
          </w:tcPr>
          <w:p w14:paraId="16FC6516"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r>
      <w:tr w:rsidR="00CA4897" w:rsidRPr="00CA4897" w14:paraId="4C6B3F16" w14:textId="77777777" w:rsidTr="00CA4897">
        <w:trPr>
          <w:trHeight w:val="510"/>
        </w:trPr>
        <w:tc>
          <w:tcPr>
            <w:tcW w:w="329" w:type="pct"/>
            <w:tcBorders>
              <w:top w:val="nil"/>
              <w:left w:val="single" w:sz="4" w:space="0" w:color="auto"/>
              <w:bottom w:val="single" w:sz="4" w:space="0" w:color="auto"/>
              <w:right w:val="single" w:sz="4" w:space="0" w:color="auto"/>
            </w:tcBorders>
            <w:shd w:val="clear" w:color="auto" w:fill="auto"/>
            <w:vAlign w:val="center"/>
            <w:hideMark/>
          </w:tcPr>
          <w:p w14:paraId="1072FB84"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lastRenderedPageBreak/>
              <w:t>1.1.4</w:t>
            </w:r>
          </w:p>
        </w:tc>
        <w:tc>
          <w:tcPr>
            <w:tcW w:w="2765" w:type="pct"/>
            <w:tcBorders>
              <w:top w:val="nil"/>
              <w:left w:val="nil"/>
              <w:bottom w:val="single" w:sz="4" w:space="0" w:color="auto"/>
              <w:right w:val="single" w:sz="4" w:space="0" w:color="auto"/>
            </w:tcBorders>
            <w:shd w:val="clear" w:color="auto" w:fill="auto"/>
            <w:vAlign w:val="center"/>
            <w:hideMark/>
          </w:tcPr>
          <w:p w14:paraId="2627A8A2" w14:textId="77777777" w:rsidR="00CA4897" w:rsidRPr="00CA4897" w:rsidRDefault="00CA4897" w:rsidP="00CA4897">
            <w:pPr>
              <w:rPr>
                <w:rFonts w:ascii="Arial Narrow" w:eastAsia="Times New Roman" w:hAnsi="Arial Narrow" w:cs="Arial"/>
                <w:sz w:val="20"/>
                <w:szCs w:val="20"/>
              </w:rPr>
            </w:pPr>
            <w:r w:rsidRPr="00CA4897">
              <w:rPr>
                <w:rFonts w:ascii="Arial Narrow" w:eastAsia="Times New Roman" w:hAnsi="Arial Narrow" w:cs="Arial"/>
                <w:sz w:val="20"/>
                <w:szCs w:val="20"/>
              </w:rPr>
              <w:t xml:space="preserve">FAN – Edifício Des. Manoel </w:t>
            </w:r>
            <w:proofErr w:type="spellStart"/>
            <w:r w:rsidRPr="00CA4897">
              <w:rPr>
                <w:rFonts w:ascii="Arial Narrow" w:eastAsia="Times New Roman" w:hAnsi="Arial Narrow" w:cs="Arial"/>
                <w:sz w:val="20"/>
                <w:szCs w:val="20"/>
              </w:rPr>
              <w:t>Arízio</w:t>
            </w:r>
            <w:proofErr w:type="spellEnd"/>
            <w:r w:rsidRPr="00CA4897">
              <w:rPr>
                <w:rFonts w:ascii="Arial Narrow" w:eastAsia="Times New Roman" w:hAnsi="Arial Narrow" w:cs="Arial"/>
                <w:sz w:val="20"/>
                <w:szCs w:val="20"/>
              </w:rPr>
              <w:t xml:space="preserve"> de Castro (04 varas)</w:t>
            </w:r>
          </w:p>
        </w:tc>
        <w:tc>
          <w:tcPr>
            <w:tcW w:w="343" w:type="pct"/>
            <w:tcBorders>
              <w:top w:val="nil"/>
              <w:left w:val="nil"/>
              <w:bottom w:val="single" w:sz="4" w:space="0" w:color="auto"/>
              <w:right w:val="single" w:sz="4" w:space="0" w:color="auto"/>
            </w:tcBorders>
            <w:shd w:val="clear" w:color="auto" w:fill="auto"/>
            <w:vAlign w:val="center"/>
            <w:hideMark/>
          </w:tcPr>
          <w:p w14:paraId="5A7D12BC"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M²</w:t>
            </w:r>
          </w:p>
        </w:tc>
        <w:tc>
          <w:tcPr>
            <w:tcW w:w="455" w:type="pct"/>
            <w:tcBorders>
              <w:top w:val="nil"/>
              <w:left w:val="nil"/>
              <w:bottom w:val="single" w:sz="4" w:space="0" w:color="auto"/>
              <w:right w:val="single" w:sz="4" w:space="0" w:color="auto"/>
            </w:tcBorders>
            <w:shd w:val="clear" w:color="auto" w:fill="auto"/>
            <w:vAlign w:val="center"/>
            <w:hideMark/>
          </w:tcPr>
          <w:p w14:paraId="0B44A5DE"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4.469,90</w:t>
            </w:r>
          </w:p>
        </w:tc>
        <w:tc>
          <w:tcPr>
            <w:tcW w:w="524" w:type="pct"/>
            <w:tcBorders>
              <w:top w:val="nil"/>
              <w:left w:val="nil"/>
              <w:bottom w:val="single" w:sz="4" w:space="0" w:color="auto"/>
              <w:right w:val="single" w:sz="4" w:space="0" w:color="auto"/>
            </w:tcBorders>
            <w:shd w:val="clear" w:color="auto" w:fill="auto"/>
            <w:vAlign w:val="center"/>
            <w:hideMark/>
          </w:tcPr>
          <w:p w14:paraId="639BFAE1"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c>
          <w:tcPr>
            <w:tcW w:w="583" w:type="pct"/>
            <w:tcBorders>
              <w:top w:val="nil"/>
              <w:left w:val="nil"/>
              <w:bottom w:val="single" w:sz="4" w:space="0" w:color="auto"/>
              <w:right w:val="single" w:sz="4" w:space="0" w:color="auto"/>
            </w:tcBorders>
            <w:shd w:val="clear" w:color="auto" w:fill="auto"/>
            <w:noWrap/>
            <w:vAlign w:val="center"/>
            <w:hideMark/>
          </w:tcPr>
          <w:p w14:paraId="71F483A5"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r>
      <w:tr w:rsidR="00CA4897" w:rsidRPr="00CA4897" w14:paraId="08AFF649" w14:textId="77777777" w:rsidTr="00CA4897">
        <w:trPr>
          <w:trHeight w:val="510"/>
        </w:trPr>
        <w:tc>
          <w:tcPr>
            <w:tcW w:w="329" w:type="pct"/>
            <w:tcBorders>
              <w:top w:val="nil"/>
              <w:left w:val="single" w:sz="4" w:space="0" w:color="auto"/>
              <w:bottom w:val="single" w:sz="4" w:space="0" w:color="auto"/>
              <w:right w:val="single" w:sz="4" w:space="0" w:color="auto"/>
            </w:tcBorders>
            <w:shd w:val="clear" w:color="auto" w:fill="auto"/>
            <w:vAlign w:val="center"/>
            <w:hideMark/>
          </w:tcPr>
          <w:p w14:paraId="4960096E"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1.1.5</w:t>
            </w:r>
          </w:p>
        </w:tc>
        <w:tc>
          <w:tcPr>
            <w:tcW w:w="2765" w:type="pct"/>
            <w:tcBorders>
              <w:top w:val="nil"/>
              <w:left w:val="nil"/>
              <w:bottom w:val="single" w:sz="4" w:space="0" w:color="auto"/>
              <w:right w:val="single" w:sz="4" w:space="0" w:color="auto"/>
            </w:tcBorders>
            <w:shd w:val="clear" w:color="auto" w:fill="auto"/>
            <w:vAlign w:val="center"/>
            <w:hideMark/>
          </w:tcPr>
          <w:p w14:paraId="0456A405" w14:textId="77777777" w:rsidR="00CA4897" w:rsidRPr="00CA4897" w:rsidRDefault="00CA4897" w:rsidP="00CA4897">
            <w:pPr>
              <w:rPr>
                <w:rFonts w:ascii="Arial Narrow" w:eastAsia="Times New Roman" w:hAnsi="Arial Narrow" w:cs="Arial"/>
                <w:sz w:val="20"/>
                <w:szCs w:val="20"/>
              </w:rPr>
            </w:pPr>
            <w:r w:rsidRPr="00CA4897">
              <w:rPr>
                <w:rFonts w:ascii="Arial Narrow" w:eastAsia="Times New Roman" w:hAnsi="Arial Narrow" w:cs="Arial"/>
                <w:sz w:val="20"/>
                <w:szCs w:val="20"/>
              </w:rPr>
              <w:t>FAN - Edifício Anexo I</w:t>
            </w:r>
          </w:p>
        </w:tc>
        <w:tc>
          <w:tcPr>
            <w:tcW w:w="343" w:type="pct"/>
            <w:tcBorders>
              <w:top w:val="nil"/>
              <w:left w:val="nil"/>
              <w:bottom w:val="single" w:sz="4" w:space="0" w:color="auto"/>
              <w:right w:val="single" w:sz="4" w:space="0" w:color="auto"/>
            </w:tcBorders>
            <w:shd w:val="clear" w:color="auto" w:fill="auto"/>
            <w:vAlign w:val="center"/>
            <w:hideMark/>
          </w:tcPr>
          <w:p w14:paraId="0ADF0C3E"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M²</w:t>
            </w:r>
          </w:p>
        </w:tc>
        <w:tc>
          <w:tcPr>
            <w:tcW w:w="455" w:type="pct"/>
            <w:tcBorders>
              <w:top w:val="nil"/>
              <w:left w:val="nil"/>
              <w:bottom w:val="single" w:sz="4" w:space="0" w:color="auto"/>
              <w:right w:val="single" w:sz="4" w:space="0" w:color="auto"/>
            </w:tcBorders>
            <w:shd w:val="clear" w:color="auto" w:fill="auto"/>
            <w:vAlign w:val="center"/>
            <w:hideMark/>
          </w:tcPr>
          <w:p w14:paraId="29E55162"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1.388,52</w:t>
            </w:r>
          </w:p>
        </w:tc>
        <w:tc>
          <w:tcPr>
            <w:tcW w:w="524" w:type="pct"/>
            <w:tcBorders>
              <w:top w:val="nil"/>
              <w:left w:val="nil"/>
              <w:bottom w:val="single" w:sz="4" w:space="0" w:color="auto"/>
              <w:right w:val="single" w:sz="4" w:space="0" w:color="auto"/>
            </w:tcBorders>
            <w:shd w:val="clear" w:color="auto" w:fill="auto"/>
            <w:vAlign w:val="center"/>
            <w:hideMark/>
          </w:tcPr>
          <w:p w14:paraId="5D6FF28B"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c>
          <w:tcPr>
            <w:tcW w:w="583" w:type="pct"/>
            <w:tcBorders>
              <w:top w:val="nil"/>
              <w:left w:val="nil"/>
              <w:bottom w:val="single" w:sz="4" w:space="0" w:color="auto"/>
              <w:right w:val="single" w:sz="4" w:space="0" w:color="auto"/>
            </w:tcBorders>
            <w:shd w:val="clear" w:color="auto" w:fill="auto"/>
            <w:noWrap/>
            <w:vAlign w:val="center"/>
            <w:hideMark/>
          </w:tcPr>
          <w:p w14:paraId="2AB8A573"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r>
      <w:tr w:rsidR="00CA4897" w:rsidRPr="00CA4897" w14:paraId="14123922" w14:textId="77777777" w:rsidTr="00CA4897">
        <w:trPr>
          <w:trHeight w:val="510"/>
        </w:trPr>
        <w:tc>
          <w:tcPr>
            <w:tcW w:w="329" w:type="pct"/>
            <w:tcBorders>
              <w:top w:val="nil"/>
              <w:left w:val="single" w:sz="4" w:space="0" w:color="auto"/>
              <w:bottom w:val="single" w:sz="4" w:space="0" w:color="auto"/>
              <w:right w:val="single" w:sz="4" w:space="0" w:color="auto"/>
            </w:tcBorders>
            <w:shd w:val="clear" w:color="auto" w:fill="auto"/>
            <w:vAlign w:val="center"/>
            <w:hideMark/>
          </w:tcPr>
          <w:p w14:paraId="61880943"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1.1.6</w:t>
            </w:r>
          </w:p>
        </w:tc>
        <w:tc>
          <w:tcPr>
            <w:tcW w:w="2765" w:type="pct"/>
            <w:tcBorders>
              <w:top w:val="nil"/>
              <w:left w:val="nil"/>
              <w:bottom w:val="single" w:sz="4" w:space="0" w:color="auto"/>
              <w:right w:val="single" w:sz="4" w:space="0" w:color="auto"/>
            </w:tcBorders>
            <w:shd w:val="clear" w:color="auto" w:fill="auto"/>
            <w:vAlign w:val="center"/>
            <w:hideMark/>
          </w:tcPr>
          <w:p w14:paraId="3AD838C4" w14:textId="77777777" w:rsidR="00CA4897" w:rsidRPr="00CA4897" w:rsidRDefault="00CA4897" w:rsidP="00CA4897">
            <w:pPr>
              <w:rPr>
                <w:rFonts w:ascii="Arial Narrow" w:eastAsia="Times New Roman" w:hAnsi="Arial Narrow" w:cs="Arial"/>
                <w:sz w:val="20"/>
                <w:szCs w:val="20"/>
              </w:rPr>
            </w:pPr>
            <w:r w:rsidRPr="00CA4897">
              <w:rPr>
                <w:rFonts w:ascii="Arial Narrow" w:eastAsia="Times New Roman" w:hAnsi="Arial Narrow" w:cs="Arial"/>
                <w:sz w:val="20"/>
                <w:szCs w:val="20"/>
              </w:rPr>
              <w:t>FAN - Edifício Anexo Galpão – Arquivo</w:t>
            </w:r>
          </w:p>
        </w:tc>
        <w:tc>
          <w:tcPr>
            <w:tcW w:w="343" w:type="pct"/>
            <w:tcBorders>
              <w:top w:val="nil"/>
              <w:left w:val="nil"/>
              <w:bottom w:val="single" w:sz="4" w:space="0" w:color="auto"/>
              <w:right w:val="single" w:sz="4" w:space="0" w:color="auto"/>
            </w:tcBorders>
            <w:shd w:val="clear" w:color="auto" w:fill="auto"/>
            <w:vAlign w:val="center"/>
            <w:hideMark/>
          </w:tcPr>
          <w:p w14:paraId="1406807C"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M²</w:t>
            </w:r>
          </w:p>
        </w:tc>
        <w:tc>
          <w:tcPr>
            <w:tcW w:w="455" w:type="pct"/>
            <w:tcBorders>
              <w:top w:val="nil"/>
              <w:left w:val="nil"/>
              <w:bottom w:val="single" w:sz="4" w:space="0" w:color="auto"/>
              <w:right w:val="single" w:sz="4" w:space="0" w:color="auto"/>
            </w:tcBorders>
            <w:shd w:val="clear" w:color="auto" w:fill="auto"/>
            <w:vAlign w:val="center"/>
            <w:hideMark/>
          </w:tcPr>
          <w:p w14:paraId="587BE13F"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286,90</w:t>
            </w:r>
          </w:p>
        </w:tc>
        <w:tc>
          <w:tcPr>
            <w:tcW w:w="524" w:type="pct"/>
            <w:tcBorders>
              <w:top w:val="nil"/>
              <w:left w:val="nil"/>
              <w:bottom w:val="single" w:sz="4" w:space="0" w:color="auto"/>
              <w:right w:val="single" w:sz="4" w:space="0" w:color="auto"/>
            </w:tcBorders>
            <w:shd w:val="clear" w:color="auto" w:fill="auto"/>
            <w:vAlign w:val="center"/>
            <w:hideMark/>
          </w:tcPr>
          <w:p w14:paraId="237D23AD"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c>
          <w:tcPr>
            <w:tcW w:w="583" w:type="pct"/>
            <w:tcBorders>
              <w:top w:val="nil"/>
              <w:left w:val="nil"/>
              <w:bottom w:val="single" w:sz="4" w:space="0" w:color="auto"/>
              <w:right w:val="single" w:sz="4" w:space="0" w:color="auto"/>
            </w:tcBorders>
            <w:shd w:val="clear" w:color="auto" w:fill="auto"/>
            <w:noWrap/>
            <w:vAlign w:val="center"/>
            <w:hideMark/>
          </w:tcPr>
          <w:p w14:paraId="12CE6C02"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r>
      <w:tr w:rsidR="00CA4897" w:rsidRPr="00CA4897" w14:paraId="0A38440A" w14:textId="77777777" w:rsidTr="00CA4897">
        <w:trPr>
          <w:trHeight w:val="510"/>
        </w:trPr>
        <w:tc>
          <w:tcPr>
            <w:tcW w:w="329" w:type="pct"/>
            <w:tcBorders>
              <w:top w:val="nil"/>
              <w:left w:val="single" w:sz="4" w:space="0" w:color="auto"/>
              <w:bottom w:val="single" w:sz="4" w:space="0" w:color="auto"/>
              <w:right w:val="single" w:sz="4" w:space="0" w:color="auto"/>
            </w:tcBorders>
            <w:shd w:val="clear" w:color="auto" w:fill="auto"/>
            <w:vAlign w:val="center"/>
            <w:hideMark/>
          </w:tcPr>
          <w:p w14:paraId="1A268DDE"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1.1.7</w:t>
            </w:r>
          </w:p>
        </w:tc>
        <w:tc>
          <w:tcPr>
            <w:tcW w:w="2765" w:type="pct"/>
            <w:tcBorders>
              <w:top w:val="nil"/>
              <w:left w:val="nil"/>
              <w:bottom w:val="single" w:sz="4" w:space="0" w:color="auto"/>
              <w:right w:val="single" w:sz="4" w:space="0" w:color="auto"/>
            </w:tcBorders>
            <w:shd w:val="clear" w:color="auto" w:fill="auto"/>
            <w:vAlign w:val="center"/>
            <w:hideMark/>
          </w:tcPr>
          <w:p w14:paraId="541D402F" w14:textId="77777777" w:rsidR="00CA4897" w:rsidRPr="00CA4897" w:rsidRDefault="00CA4897" w:rsidP="00CA4897">
            <w:pPr>
              <w:rPr>
                <w:rFonts w:ascii="Arial Narrow" w:eastAsia="Times New Roman" w:hAnsi="Arial Narrow" w:cs="Arial"/>
                <w:sz w:val="20"/>
                <w:szCs w:val="20"/>
              </w:rPr>
            </w:pPr>
            <w:r w:rsidRPr="00CA4897">
              <w:rPr>
                <w:rFonts w:ascii="Arial Narrow" w:eastAsia="Times New Roman" w:hAnsi="Arial Narrow" w:cs="Arial"/>
                <w:sz w:val="20"/>
                <w:szCs w:val="20"/>
              </w:rPr>
              <w:t>FAN - Edifício Dom Hélder Câmara (14 Varas)</w:t>
            </w:r>
          </w:p>
        </w:tc>
        <w:tc>
          <w:tcPr>
            <w:tcW w:w="343" w:type="pct"/>
            <w:tcBorders>
              <w:top w:val="nil"/>
              <w:left w:val="nil"/>
              <w:bottom w:val="single" w:sz="4" w:space="0" w:color="auto"/>
              <w:right w:val="single" w:sz="4" w:space="0" w:color="auto"/>
            </w:tcBorders>
            <w:shd w:val="clear" w:color="auto" w:fill="auto"/>
            <w:vAlign w:val="center"/>
            <w:hideMark/>
          </w:tcPr>
          <w:p w14:paraId="0134304E"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M²</w:t>
            </w:r>
          </w:p>
        </w:tc>
        <w:tc>
          <w:tcPr>
            <w:tcW w:w="455" w:type="pct"/>
            <w:tcBorders>
              <w:top w:val="nil"/>
              <w:left w:val="nil"/>
              <w:bottom w:val="single" w:sz="4" w:space="0" w:color="auto"/>
              <w:right w:val="single" w:sz="4" w:space="0" w:color="auto"/>
            </w:tcBorders>
            <w:shd w:val="clear" w:color="auto" w:fill="auto"/>
            <w:vAlign w:val="center"/>
            <w:hideMark/>
          </w:tcPr>
          <w:p w14:paraId="4A2DE306"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8.419,32</w:t>
            </w:r>
          </w:p>
        </w:tc>
        <w:tc>
          <w:tcPr>
            <w:tcW w:w="524" w:type="pct"/>
            <w:tcBorders>
              <w:top w:val="nil"/>
              <w:left w:val="nil"/>
              <w:bottom w:val="single" w:sz="4" w:space="0" w:color="auto"/>
              <w:right w:val="single" w:sz="4" w:space="0" w:color="auto"/>
            </w:tcBorders>
            <w:shd w:val="clear" w:color="auto" w:fill="auto"/>
            <w:vAlign w:val="center"/>
            <w:hideMark/>
          </w:tcPr>
          <w:p w14:paraId="5D6B29FB"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c>
          <w:tcPr>
            <w:tcW w:w="583" w:type="pct"/>
            <w:tcBorders>
              <w:top w:val="nil"/>
              <w:left w:val="nil"/>
              <w:bottom w:val="single" w:sz="4" w:space="0" w:color="auto"/>
              <w:right w:val="single" w:sz="4" w:space="0" w:color="auto"/>
            </w:tcBorders>
            <w:shd w:val="clear" w:color="auto" w:fill="auto"/>
            <w:noWrap/>
            <w:vAlign w:val="center"/>
            <w:hideMark/>
          </w:tcPr>
          <w:p w14:paraId="73366E74"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r>
      <w:tr w:rsidR="00CA4897" w:rsidRPr="00CA4897" w14:paraId="63F3C2A6" w14:textId="77777777" w:rsidTr="00CA4897">
        <w:trPr>
          <w:trHeight w:val="510"/>
        </w:trPr>
        <w:tc>
          <w:tcPr>
            <w:tcW w:w="329" w:type="pct"/>
            <w:tcBorders>
              <w:top w:val="nil"/>
              <w:left w:val="single" w:sz="4" w:space="0" w:color="auto"/>
              <w:bottom w:val="single" w:sz="4" w:space="0" w:color="auto"/>
              <w:right w:val="single" w:sz="4" w:space="0" w:color="auto"/>
            </w:tcBorders>
            <w:shd w:val="clear" w:color="auto" w:fill="auto"/>
            <w:vAlign w:val="center"/>
            <w:hideMark/>
          </w:tcPr>
          <w:p w14:paraId="2B96FCB1"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1.1.8</w:t>
            </w:r>
          </w:p>
        </w:tc>
        <w:tc>
          <w:tcPr>
            <w:tcW w:w="2765" w:type="pct"/>
            <w:tcBorders>
              <w:top w:val="nil"/>
              <w:left w:val="nil"/>
              <w:bottom w:val="single" w:sz="4" w:space="0" w:color="auto"/>
              <w:right w:val="single" w:sz="4" w:space="0" w:color="auto"/>
            </w:tcBorders>
            <w:shd w:val="clear" w:color="auto" w:fill="auto"/>
            <w:vAlign w:val="center"/>
            <w:hideMark/>
          </w:tcPr>
          <w:p w14:paraId="5A68C999" w14:textId="77777777" w:rsidR="00CA4897" w:rsidRPr="00CA4897" w:rsidRDefault="00CA4897" w:rsidP="00CA4897">
            <w:pPr>
              <w:rPr>
                <w:rFonts w:ascii="Arial Narrow" w:eastAsia="Times New Roman" w:hAnsi="Arial Narrow" w:cs="Arial"/>
                <w:sz w:val="20"/>
                <w:szCs w:val="20"/>
              </w:rPr>
            </w:pPr>
            <w:r w:rsidRPr="00CA4897">
              <w:rPr>
                <w:rFonts w:ascii="Arial Narrow" w:eastAsia="Times New Roman" w:hAnsi="Arial Narrow" w:cs="Arial"/>
                <w:sz w:val="20"/>
                <w:szCs w:val="20"/>
              </w:rPr>
              <w:t>Vara Trabalhista de Pacajus (1 vara)</w:t>
            </w:r>
          </w:p>
        </w:tc>
        <w:tc>
          <w:tcPr>
            <w:tcW w:w="343" w:type="pct"/>
            <w:tcBorders>
              <w:top w:val="nil"/>
              <w:left w:val="nil"/>
              <w:bottom w:val="single" w:sz="4" w:space="0" w:color="auto"/>
              <w:right w:val="single" w:sz="4" w:space="0" w:color="auto"/>
            </w:tcBorders>
            <w:shd w:val="clear" w:color="auto" w:fill="auto"/>
            <w:vAlign w:val="center"/>
            <w:hideMark/>
          </w:tcPr>
          <w:p w14:paraId="010ACE60"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M²</w:t>
            </w:r>
          </w:p>
        </w:tc>
        <w:tc>
          <w:tcPr>
            <w:tcW w:w="455" w:type="pct"/>
            <w:tcBorders>
              <w:top w:val="nil"/>
              <w:left w:val="nil"/>
              <w:bottom w:val="single" w:sz="4" w:space="0" w:color="auto"/>
              <w:right w:val="single" w:sz="4" w:space="0" w:color="auto"/>
            </w:tcBorders>
            <w:shd w:val="clear" w:color="auto" w:fill="auto"/>
            <w:vAlign w:val="center"/>
            <w:hideMark/>
          </w:tcPr>
          <w:p w14:paraId="169BD98C"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440,96</w:t>
            </w:r>
          </w:p>
        </w:tc>
        <w:tc>
          <w:tcPr>
            <w:tcW w:w="524" w:type="pct"/>
            <w:tcBorders>
              <w:top w:val="nil"/>
              <w:left w:val="nil"/>
              <w:bottom w:val="single" w:sz="4" w:space="0" w:color="auto"/>
              <w:right w:val="single" w:sz="4" w:space="0" w:color="auto"/>
            </w:tcBorders>
            <w:shd w:val="clear" w:color="auto" w:fill="auto"/>
            <w:vAlign w:val="center"/>
            <w:hideMark/>
          </w:tcPr>
          <w:p w14:paraId="73F58AD4"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c>
          <w:tcPr>
            <w:tcW w:w="583" w:type="pct"/>
            <w:tcBorders>
              <w:top w:val="nil"/>
              <w:left w:val="nil"/>
              <w:bottom w:val="single" w:sz="4" w:space="0" w:color="auto"/>
              <w:right w:val="single" w:sz="4" w:space="0" w:color="auto"/>
            </w:tcBorders>
            <w:shd w:val="clear" w:color="auto" w:fill="auto"/>
            <w:noWrap/>
            <w:vAlign w:val="center"/>
            <w:hideMark/>
          </w:tcPr>
          <w:p w14:paraId="2DDBCA7C"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r>
      <w:tr w:rsidR="00CA4897" w:rsidRPr="00CA4897" w14:paraId="614405A3" w14:textId="77777777" w:rsidTr="00CA4897">
        <w:trPr>
          <w:trHeight w:val="510"/>
        </w:trPr>
        <w:tc>
          <w:tcPr>
            <w:tcW w:w="329" w:type="pct"/>
            <w:tcBorders>
              <w:top w:val="nil"/>
              <w:left w:val="single" w:sz="4" w:space="0" w:color="auto"/>
              <w:bottom w:val="single" w:sz="4" w:space="0" w:color="auto"/>
              <w:right w:val="single" w:sz="4" w:space="0" w:color="auto"/>
            </w:tcBorders>
            <w:shd w:val="clear" w:color="auto" w:fill="auto"/>
            <w:vAlign w:val="center"/>
            <w:hideMark/>
          </w:tcPr>
          <w:p w14:paraId="197F3EB6"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1.1.9</w:t>
            </w:r>
          </w:p>
        </w:tc>
        <w:tc>
          <w:tcPr>
            <w:tcW w:w="2765" w:type="pct"/>
            <w:tcBorders>
              <w:top w:val="nil"/>
              <w:left w:val="nil"/>
              <w:bottom w:val="single" w:sz="4" w:space="0" w:color="auto"/>
              <w:right w:val="single" w:sz="4" w:space="0" w:color="auto"/>
            </w:tcBorders>
            <w:shd w:val="clear" w:color="auto" w:fill="auto"/>
            <w:vAlign w:val="center"/>
            <w:hideMark/>
          </w:tcPr>
          <w:p w14:paraId="41958EE1" w14:textId="77777777" w:rsidR="00CA4897" w:rsidRPr="00CA4897" w:rsidRDefault="00CA4897" w:rsidP="00CA4897">
            <w:pPr>
              <w:rPr>
                <w:rFonts w:ascii="Arial Narrow" w:eastAsia="Times New Roman" w:hAnsi="Arial Narrow" w:cs="Arial"/>
                <w:sz w:val="20"/>
                <w:szCs w:val="20"/>
              </w:rPr>
            </w:pPr>
            <w:r w:rsidRPr="00CA4897">
              <w:rPr>
                <w:rFonts w:ascii="Arial Narrow" w:eastAsia="Times New Roman" w:hAnsi="Arial Narrow" w:cs="Arial"/>
                <w:sz w:val="20"/>
                <w:szCs w:val="20"/>
              </w:rPr>
              <w:t>Vara Trabalhista de Tianguá (1 vara)</w:t>
            </w:r>
          </w:p>
        </w:tc>
        <w:tc>
          <w:tcPr>
            <w:tcW w:w="343" w:type="pct"/>
            <w:tcBorders>
              <w:top w:val="nil"/>
              <w:left w:val="nil"/>
              <w:bottom w:val="single" w:sz="4" w:space="0" w:color="auto"/>
              <w:right w:val="single" w:sz="4" w:space="0" w:color="auto"/>
            </w:tcBorders>
            <w:shd w:val="clear" w:color="auto" w:fill="auto"/>
            <w:vAlign w:val="center"/>
            <w:hideMark/>
          </w:tcPr>
          <w:p w14:paraId="21972183"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M²</w:t>
            </w:r>
          </w:p>
        </w:tc>
        <w:tc>
          <w:tcPr>
            <w:tcW w:w="455" w:type="pct"/>
            <w:tcBorders>
              <w:top w:val="nil"/>
              <w:left w:val="nil"/>
              <w:bottom w:val="single" w:sz="4" w:space="0" w:color="auto"/>
              <w:right w:val="single" w:sz="4" w:space="0" w:color="auto"/>
            </w:tcBorders>
            <w:shd w:val="clear" w:color="auto" w:fill="auto"/>
            <w:vAlign w:val="center"/>
            <w:hideMark/>
          </w:tcPr>
          <w:p w14:paraId="3DED54EA"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440,96</w:t>
            </w:r>
          </w:p>
        </w:tc>
        <w:tc>
          <w:tcPr>
            <w:tcW w:w="524" w:type="pct"/>
            <w:tcBorders>
              <w:top w:val="nil"/>
              <w:left w:val="nil"/>
              <w:bottom w:val="single" w:sz="4" w:space="0" w:color="auto"/>
              <w:right w:val="single" w:sz="4" w:space="0" w:color="auto"/>
            </w:tcBorders>
            <w:shd w:val="clear" w:color="auto" w:fill="auto"/>
            <w:vAlign w:val="center"/>
            <w:hideMark/>
          </w:tcPr>
          <w:p w14:paraId="54DF62EF"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c>
          <w:tcPr>
            <w:tcW w:w="583" w:type="pct"/>
            <w:tcBorders>
              <w:top w:val="nil"/>
              <w:left w:val="nil"/>
              <w:bottom w:val="single" w:sz="4" w:space="0" w:color="auto"/>
              <w:right w:val="single" w:sz="4" w:space="0" w:color="auto"/>
            </w:tcBorders>
            <w:shd w:val="clear" w:color="auto" w:fill="auto"/>
            <w:noWrap/>
            <w:vAlign w:val="center"/>
            <w:hideMark/>
          </w:tcPr>
          <w:p w14:paraId="18E34112"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r>
      <w:tr w:rsidR="00CA4897" w:rsidRPr="00CA4897" w14:paraId="172420D4" w14:textId="77777777" w:rsidTr="00CA4897">
        <w:trPr>
          <w:trHeight w:val="510"/>
        </w:trPr>
        <w:tc>
          <w:tcPr>
            <w:tcW w:w="329" w:type="pct"/>
            <w:tcBorders>
              <w:top w:val="nil"/>
              <w:left w:val="single" w:sz="4" w:space="0" w:color="auto"/>
              <w:bottom w:val="single" w:sz="4" w:space="0" w:color="auto"/>
              <w:right w:val="single" w:sz="4" w:space="0" w:color="auto"/>
            </w:tcBorders>
            <w:shd w:val="clear" w:color="auto" w:fill="auto"/>
            <w:vAlign w:val="center"/>
            <w:hideMark/>
          </w:tcPr>
          <w:p w14:paraId="09991D9A"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1.1.10</w:t>
            </w:r>
          </w:p>
        </w:tc>
        <w:tc>
          <w:tcPr>
            <w:tcW w:w="2765" w:type="pct"/>
            <w:tcBorders>
              <w:top w:val="nil"/>
              <w:left w:val="nil"/>
              <w:bottom w:val="single" w:sz="4" w:space="0" w:color="auto"/>
              <w:right w:val="single" w:sz="4" w:space="0" w:color="auto"/>
            </w:tcBorders>
            <w:shd w:val="clear" w:color="auto" w:fill="auto"/>
            <w:vAlign w:val="center"/>
            <w:hideMark/>
          </w:tcPr>
          <w:p w14:paraId="52115930" w14:textId="77777777" w:rsidR="00CA4897" w:rsidRPr="00CA4897" w:rsidRDefault="00CA4897" w:rsidP="00CA4897">
            <w:pPr>
              <w:rPr>
                <w:rFonts w:ascii="Arial Narrow" w:eastAsia="Times New Roman" w:hAnsi="Arial Narrow" w:cs="Arial"/>
                <w:sz w:val="20"/>
                <w:szCs w:val="20"/>
              </w:rPr>
            </w:pPr>
            <w:r w:rsidRPr="00CA4897">
              <w:rPr>
                <w:rFonts w:ascii="Arial Narrow" w:eastAsia="Times New Roman" w:hAnsi="Arial Narrow" w:cs="Arial"/>
                <w:sz w:val="20"/>
                <w:szCs w:val="20"/>
              </w:rPr>
              <w:t>Vara Trabalhista de Quixadá (1 vara)</w:t>
            </w:r>
          </w:p>
        </w:tc>
        <w:tc>
          <w:tcPr>
            <w:tcW w:w="343" w:type="pct"/>
            <w:tcBorders>
              <w:top w:val="nil"/>
              <w:left w:val="nil"/>
              <w:bottom w:val="single" w:sz="4" w:space="0" w:color="auto"/>
              <w:right w:val="single" w:sz="4" w:space="0" w:color="auto"/>
            </w:tcBorders>
            <w:shd w:val="clear" w:color="auto" w:fill="auto"/>
            <w:vAlign w:val="center"/>
            <w:hideMark/>
          </w:tcPr>
          <w:p w14:paraId="7E9761C6"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M²</w:t>
            </w:r>
          </w:p>
        </w:tc>
        <w:tc>
          <w:tcPr>
            <w:tcW w:w="455" w:type="pct"/>
            <w:tcBorders>
              <w:top w:val="nil"/>
              <w:left w:val="nil"/>
              <w:bottom w:val="single" w:sz="4" w:space="0" w:color="auto"/>
              <w:right w:val="single" w:sz="4" w:space="0" w:color="auto"/>
            </w:tcBorders>
            <w:shd w:val="clear" w:color="auto" w:fill="auto"/>
            <w:vAlign w:val="center"/>
            <w:hideMark/>
          </w:tcPr>
          <w:p w14:paraId="108ED2E2"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595,74</w:t>
            </w:r>
          </w:p>
        </w:tc>
        <w:tc>
          <w:tcPr>
            <w:tcW w:w="524" w:type="pct"/>
            <w:tcBorders>
              <w:top w:val="nil"/>
              <w:left w:val="nil"/>
              <w:bottom w:val="single" w:sz="4" w:space="0" w:color="auto"/>
              <w:right w:val="single" w:sz="4" w:space="0" w:color="auto"/>
            </w:tcBorders>
            <w:shd w:val="clear" w:color="auto" w:fill="auto"/>
            <w:vAlign w:val="center"/>
            <w:hideMark/>
          </w:tcPr>
          <w:p w14:paraId="523CD595"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c>
          <w:tcPr>
            <w:tcW w:w="583" w:type="pct"/>
            <w:tcBorders>
              <w:top w:val="nil"/>
              <w:left w:val="nil"/>
              <w:bottom w:val="single" w:sz="4" w:space="0" w:color="auto"/>
              <w:right w:val="single" w:sz="4" w:space="0" w:color="auto"/>
            </w:tcBorders>
            <w:shd w:val="clear" w:color="auto" w:fill="auto"/>
            <w:noWrap/>
            <w:vAlign w:val="center"/>
            <w:hideMark/>
          </w:tcPr>
          <w:p w14:paraId="02DA98CA"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r>
      <w:tr w:rsidR="00CA4897" w:rsidRPr="00CA4897" w14:paraId="2886A20F" w14:textId="77777777" w:rsidTr="00CA4897">
        <w:trPr>
          <w:trHeight w:val="510"/>
        </w:trPr>
        <w:tc>
          <w:tcPr>
            <w:tcW w:w="329" w:type="pct"/>
            <w:tcBorders>
              <w:top w:val="nil"/>
              <w:left w:val="single" w:sz="4" w:space="0" w:color="auto"/>
              <w:bottom w:val="single" w:sz="4" w:space="0" w:color="auto"/>
              <w:right w:val="single" w:sz="4" w:space="0" w:color="auto"/>
            </w:tcBorders>
            <w:shd w:val="clear" w:color="auto" w:fill="auto"/>
            <w:vAlign w:val="center"/>
            <w:hideMark/>
          </w:tcPr>
          <w:p w14:paraId="600C1545"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1.1.11</w:t>
            </w:r>
          </w:p>
        </w:tc>
        <w:tc>
          <w:tcPr>
            <w:tcW w:w="2765" w:type="pct"/>
            <w:tcBorders>
              <w:top w:val="nil"/>
              <w:left w:val="nil"/>
              <w:bottom w:val="single" w:sz="4" w:space="0" w:color="auto"/>
              <w:right w:val="single" w:sz="4" w:space="0" w:color="auto"/>
            </w:tcBorders>
            <w:shd w:val="clear" w:color="auto" w:fill="auto"/>
            <w:vAlign w:val="center"/>
            <w:hideMark/>
          </w:tcPr>
          <w:p w14:paraId="4A98E802" w14:textId="77777777" w:rsidR="00CA4897" w:rsidRPr="00CA4897" w:rsidRDefault="00CA4897" w:rsidP="00CA4897">
            <w:pPr>
              <w:rPr>
                <w:rFonts w:ascii="Arial Narrow" w:eastAsia="Times New Roman" w:hAnsi="Arial Narrow" w:cs="Arial"/>
                <w:sz w:val="20"/>
                <w:szCs w:val="20"/>
              </w:rPr>
            </w:pPr>
            <w:r w:rsidRPr="00CA4897">
              <w:rPr>
                <w:rFonts w:ascii="Arial Narrow" w:eastAsia="Times New Roman" w:hAnsi="Arial Narrow" w:cs="Arial"/>
                <w:sz w:val="20"/>
                <w:szCs w:val="20"/>
              </w:rPr>
              <w:t>ANOTAÇÃO DE RESPONSABILIDADE TÉCNICA PARA LAUDO TÉCNICO - FAIXA 01</w:t>
            </w:r>
          </w:p>
        </w:tc>
        <w:tc>
          <w:tcPr>
            <w:tcW w:w="343" w:type="pct"/>
            <w:tcBorders>
              <w:top w:val="nil"/>
              <w:left w:val="nil"/>
              <w:bottom w:val="single" w:sz="4" w:space="0" w:color="auto"/>
              <w:right w:val="single" w:sz="4" w:space="0" w:color="auto"/>
            </w:tcBorders>
            <w:shd w:val="clear" w:color="auto" w:fill="auto"/>
            <w:vAlign w:val="center"/>
            <w:hideMark/>
          </w:tcPr>
          <w:p w14:paraId="67097CCD"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UD</w:t>
            </w:r>
          </w:p>
        </w:tc>
        <w:tc>
          <w:tcPr>
            <w:tcW w:w="455" w:type="pct"/>
            <w:tcBorders>
              <w:top w:val="nil"/>
              <w:left w:val="nil"/>
              <w:bottom w:val="single" w:sz="4" w:space="0" w:color="auto"/>
              <w:right w:val="single" w:sz="4" w:space="0" w:color="auto"/>
            </w:tcBorders>
            <w:shd w:val="clear" w:color="auto" w:fill="auto"/>
            <w:vAlign w:val="center"/>
            <w:hideMark/>
          </w:tcPr>
          <w:p w14:paraId="7205A9C6"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25,00</w:t>
            </w:r>
          </w:p>
        </w:tc>
        <w:tc>
          <w:tcPr>
            <w:tcW w:w="524" w:type="pct"/>
            <w:tcBorders>
              <w:top w:val="nil"/>
              <w:left w:val="nil"/>
              <w:bottom w:val="single" w:sz="4" w:space="0" w:color="auto"/>
              <w:right w:val="single" w:sz="4" w:space="0" w:color="auto"/>
            </w:tcBorders>
            <w:shd w:val="clear" w:color="auto" w:fill="auto"/>
            <w:vAlign w:val="center"/>
            <w:hideMark/>
          </w:tcPr>
          <w:p w14:paraId="5E4F00F2"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c>
          <w:tcPr>
            <w:tcW w:w="583" w:type="pct"/>
            <w:tcBorders>
              <w:top w:val="nil"/>
              <w:left w:val="nil"/>
              <w:bottom w:val="single" w:sz="4" w:space="0" w:color="auto"/>
              <w:right w:val="single" w:sz="4" w:space="0" w:color="auto"/>
            </w:tcBorders>
            <w:shd w:val="clear" w:color="auto" w:fill="auto"/>
            <w:noWrap/>
            <w:vAlign w:val="center"/>
            <w:hideMark/>
          </w:tcPr>
          <w:p w14:paraId="17E43309"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r>
      <w:tr w:rsidR="00CA4897" w:rsidRPr="00CA4897" w14:paraId="74982D0E" w14:textId="77777777" w:rsidTr="00CA4897">
        <w:trPr>
          <w:trHeight w:val="510"/>
        </w:trPr>
        <w:tc>
          <w:tcPr>
            <w:tcW w:w="329" w:type="pct"/>
            <w:tcBorders>
              <w:top w:val="nil"/>
              <w:left w:val="single" w:sz="4" w:space="0" w:color="auto"/>
              <w:bottom w:val="single" w:sz="4" w:space="0" w:color="auto"/>
              <w:right w:val="single" w:sz="4" w:space="0" w:color="auto"/>
            </w:tcBorders>
            <w:shd w:val="clear" w:color="000000" w:fill="B4C6E7"/>
            <w:vAlign w:val="center"/>
            <w:hideMark/>
          </w:tcPr>
          <w:p w14:paraId="5003DF5B" w14:textId="77777777" w:rsidR="00CA4897" w:rsidRPr="00CA4897" w:rsidRDefault="00CA4897" w:rsidP="00CA4897">
            <w:pPr>
              <w:jc w:val="center"/>
              <w:rPr>
                <w:rFonts w:ascii="Arial Narrow" w:eastAsia="Times New Roman" w:hAnsi="Arial Narrow" w:cs="Arial"/>
                <w:b/>
                <w:bCs/>
                <w:sz w:val="20"/>
                <w:szCs w:val="20"/>
              </w:rPr>
            </w:pPr>
            <w:r w:rsidRPr="00CA4897">
              <w:rPr>
                <w:rFonts w:ascii="Arial Narrow" w:eastAsia="Times New Roman" w:hAnsi="Arial Narrow" w:cs="Arial"/>
                <w:b/>
                <w:bCs/>
                <w:sz w:val="20"/>
                <w:szCs w:val="20"/>
              </w:rPr>
              <w:t>1.2</w:t>
            </w:r>
          </w:p>
        </w:tc>
        <w:tc>
          <w:tcPr>
            <w:tcW w:w="4671" w:type="pct"/>
            <w:gridSpan w:val="5"/>
            <w:tcBorders>
              <w:top w:val="single" w:sz="4" w:space="0" w:color="auto"/>
              <w:left w:val="nil"/>
              <w:bottom w:val="single" w:sz="4" w:space="0" w:color="auto"/>
              <w:right w:val="single" w:sz="4" w:space="0" w:color="000000"/>
            </w:tcBorders>
            <w:shd w:val="clear" w:color="000000" w:fill="B4C6E7"/>
            <w:vAlign w:val="center"/>
            <w:hideMark/>
          </w:tcPr>
          <w:p w14:paraId="3F9C91F5" w14:textId="77777777" w:rsidR="00CA4897" w:rsidRPr="00CA4897" w:rsidRDefault="00CA4897" w:rsidP="00CA4897">
            <w:pPr>
              <w:rPr>
                <w:rFonts w:ascii="Arial Narrow" w:eastAsia="Times New Roman" w:hAnsi="Arial Narrow" w:cs="Arial"/>
                <w:b/>
                <w:bCs/>
                <w:sz w:val="20"/>
                <w:szCs w:val="20"/>
              </w:rPr>
            </w:pPr>
            <w:r w:rsidRPr="00CA4897">
              <w:rPr>
                <w:rFonts w:ascii="Arial Narrow" w:eastAsia="Times New Roman" w:hAnsi="Arial Narrow" w:cs="Arial"/>
                <w:b/>
                <w:bCs/>
                <w:sz w:val="20"/>
                <w:szCs w:val="20"/>
              </w:rPr>
              <w:t>MUNICÍPIOS DE JUAZEIRO DO NORTE, IGUATU, CAUCAIA, EUSÉBIO, BATURITÉ, ARACATI, SÃO GONÇALO DO AMARANTE e LIMOEIRO DO NORTE (BDI 02)</w:t>
            </w:r>
          </w:p>
        </w:tc>
      </w:tr>
      <w:tr w:rsidR="00CA4897" w:rsidRPr="00CA4897" w14:paraId="4C981F29" w14:textId="77777777" w:rsidTr="00CA4897">
        <w:trPr>
          <w:trHeight w:val="510"/>
        </w:trPr>
        <w:tc>
          <w:tcPr>
            <w:tcW w:w="329" w:type="pct"/>
            <w:tcBorders>
              <w:top w:val="nil"/>
              <w:left w:val="single" w:sz="4" w:space="0" w:color="auto"/>
              <w:bottom w:val="single" w:sz="4" w:space="0" w:color="auto"/>
              <w:right w:val="single" w:sz="4" w:space="0" w:color="auto"/>
            </w:tcBorders>
            <w:shd w:val="clear" w:color="auto" w:fill="auto"/>
            <w:vAlign w:val="center"/>
            <w:hideMark/>
          </w:tcPr>
          <w:p w14:paraId="0D05761D"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1.2.1</w:t>
            </w:r>
          </w:p>
        </w:tc>
        <w:tc>
          <w:tcPr>
            <w:tcW w:w="2765" w:type="pct"/>
            <w:tcBorders>
              <w:top w:val="nil"/>
              <w:left w:val="nil"/>
              <w:bottom w:val="single" w:sz="4" w:space="0" w:color="auto"/>
              <w:right w:val="single" w:sz="4" w:space="0" w:color="auto"/>
            </w:tcBorders>
            <w:shd w:val="clear" w:color="auto" w:fill="auto"/>
            <w:vAlign w:val="center"/>
            <w:hideMark/>
          </w:tcPr>
          <w:p w14:paraId="2590EC1C" w14:textId="77777777" w:rsidR="00CA4897" w:rsidRPr="00CA4897" w:rsidRDefault="00CA4897" w:rsidP="00CA4897">
            <w:pPr>
              <w:rPr>
                <w:rFonts w:ascii="Arial Narrow" w:eastAsia="Times New Roman" w:hAnsi="Arial Narrow" w:cs="Arial"/>
                <w:sz w:val="20"/>
                <w:szCs w:val="20"/>
              </w:rPr>
            </w:pPr>
            <w:r w:rsidRPr="00CA4897">
              <w:rPr>
                <w:rFonts w:ascii="Arial Narrow" w:eastAsia="Times New Roman" w:hAnsi="Arial Narrow" w:cs="Arial"/>
                <w:sz w:val="20"/>
                <w:szCs w:val="20"/>
              </w:rPr>
              <w:t>Fórum Trabalhista do Cariri (3 varas)</w:t>
            </w:r>
          </w:p>
        </w:tc>
        <w:tc>
          <w:tcPr>
            <w:tcW w:w="343" w:type="pct"/>
            <w:tcBorders>
              <w:top w:val="nil"/>
              <w:left w:val="nil"/>
              <w:bottom w:val="single" w:sz="4" w:space="0" w:color="auto"/>
              <w:right w:val="single" w:sz="4" w:space="0" w:color="auto"/>
            </w:tcBorders>
            <w:shd w:val="clear" w:color="auto" w:fill="auto"/>
            <w:vAlign w:val="center"/>
            <w:hideMark/>
          </w:tcPr>
          <w:p w14:paraId="43BEC324"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M²</w:t>
            </w:r>
          </w:p>
        </w:tc>
        <w:tc>
          <w:tcPr>
            <w:tcW w:w="455" w:type="pct"/>
            <w:tcBorders>
              <w:top w:val="nil"/>
              <w:left w:val="nil"/>
              <w:bottom w:val="single" w:sz="4" w:space="0" w:color="auto"/>
              <w:right w:val="single" w:sz="4" w:space="0" w:color="auto"/>
            </w:tcBorders>
            <w:shd w:val="clear" w:color="auto" w:fill="auto"/>
            <w:vAlign w:val="center"/>
            <w:hideMark/>
          </w:tcPr>
          <w:p w14:paraId="0851152C"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3.667,17</w:t>
            </w:r>
          </w:p>
        </w:tc>
        <w:tc>
          <w:tcPr>
            <w:tcW w:w="524" w:type="pct"/>
            <w:tcBorders>
              <w:top w:val="nil"/>
              <w:left w:val="nil"/>
              <w:bottom w:val="single" w:sz="4" w:space="0" w:color="auto"/>
              <w:right w:val="single" w:sz="4" w:space="0" w:color="auto"/>
            </w:tcBorders>
            <w:shd w:val="clear" w:color="auto" w:fill="auto"/>
            <w:vAlign w:val="center"/>
            <w:hideMark/>
          </w:tcPr>
          <w:p w14:paraId="29A5EB56"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c>
          <w:tcPr>
            <w:tcW w:w="583" w:type="pct"/>
            <w:tcBorders>
              <w:top w:val="nil"/>
              <w:left w:val="nil"/>
              <w:bottom w:val="single" w:sz="4" w:space="0" w:color="auto"/>
              <w:right w:val="single" w:sz="4" w:space="0" w:color="auto"/>
            </w:tcBorders>
            <w:shd w:val="clear" w:color="auto" w:fill="auto"/>
            <w:noWrap/>
            <w:vAlign w:val="center"/>
            <w:hideMark/>
          </w:tcPr>
          <w:p w14:paraId="5D421E7A"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r>
      <w:tr w:rsidR="00CA4897" w:rsidRPr="00CA4897" w14:paraId="2ABE0D6A" w14:textId="77777777" w:rsidTr="00CA4897">
        <w:trPr>
          <w:trHeight w:val="510"/>
        </w:trPr>
        <w:tc>
          <w:tcPr>
            <w:tcW w:w="329" w:type="pct"/>
            <w:tcBorders>
              <w:top w:val="nil"/>
              <w:left w:val="single" w:sz="4" w:space="0" w:color="auto"/>
              <w:bottom w:val="single" w:sz="4" w:space="0" w:color="auto"/>
              <w:right w:val="single" w:sz="4" w:space="0" w:color="auto"/>
            </w:tcBorders>
            <w:shd w:val="clear" w:color="auto" w:fill="auto"/>
            <w:vAlign w:val="center"/>
            <w:hideMark/>
          </w:tcPr>
          <w:p w14:paraId="02F056DE"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1.2.2</w:t>
            </w:r>
          </w:p>
        </w:tc>
        <w:tc>
          <w:tcPr>
            <w:tcW w:w="2765" w:type="pct"/>
            <w:tcBorders>
              <w:top w:val="nil"/>
              <w:left w:val="nil"/>
              <w:bottom w:val="single" w:sz="4" w:space="0" w:color="auto"/>
              <w:right w:val="single" w:sz="4" w:space="0" w:color="auto"/>
            </w:tcBorders>
            <w:shd w:val="clear" w:color="auto" w:fill="auto"/>
            <w:vAlign w:val="center"/>
            <w:hideMark/>
          </w:tcPr>
          <w:p w14:paraId="5941367F" w14:textId="77777777" w:rsidR="00CA4897" w:rsidRPr="00CA4897" w:rsidRDefault="00CA4897" w:rsidP="00CA4897">
            <w:pPr>
              <w:rPr>
                <w:rFonts w:ascii="Arial Narrow" w:eastAsia="Times New Roman" w:hAnsi="Arial Narrow" w:cs="Arial"/>
                <w:sz w:val="20"/>
                <w:szCs w:val="20"/>
              </w:rPr>
            </w:pPr>
            <w:r w:rsidRPr="00CA4897">
              <w:rPr>
                <w:rFonts w:ascii="Arial Narrow" w:eastAsia="Times New Roman" w:hAnsi="Arial Narrow" w:cs="Arial"/>
                <w:sz w:val="20"/>
                <w:szCs w:val="20"/>
              </w:rPr>
              <w:t>Vara Trabalhista de Iguatu (1 vara)</w:t>
            </w:r>
          </w:p>
        </w:tc>
        <w:tc>
          <w:tcPr>
            <w:tcW w:w="343" w:type="pct"/>
            <w:tcBorders>
              <w:top w:val="nil"/>
              <w:left w:val="nil"/>
              <w:bottom w:val="single" w:sz="4" w:space="0" w:color="auto"/>
              <w:right w:val="single" w:sz="4" w:space="0" w:color="auto"/>
            </w:tcBorders>
            <w:shd w:val="clear" w:color="auto" w:fill="auto"/>
            <w:vAlign w:val="center"/>
            <w:hideMark/>
          </w:tcPr>
          <w:p w14:paraId="35D49AA7"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M²</w:t>
            </w:r>
          </w:p>
        </w:tc>
        <w:tc>
          <w:tcPr>
            <w:tcW w:w="455" w:type="pct"/>
            <w:tcBorders>
              <w:top w:val="nil"/>
              <w:left w:val="nil"/>
              <w:bottom w:val="single" w:sz="4" w:space="0" w:color="auto"/>
              <w:right w:val="single" w:sz="4" w:space="0" w:color="auto"/>
            </w:tcBorders>
            <w:shd w:val="clear" w:color="auto" w:fill="auto"/>
            <w:vAlign w:val="center"/>
            <w:hideMark/>
          </w:tcPr>
          <w:p w14:paraId="383DD475"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938,81</w:t>
            </w:r>
          </w:p>
        </w:tc>
        <w:tc>
          <w:tcPr>
            <w:tcW w:w="524" w:type="pct"/>
            <w:tcBorders>
              <w:top w:val="nil"/>
              <w:left w:val="nil"/>
              <w:bottom w:val="single" w:sz="4" w:space="0" w:color="auto"/>
              <w:right w:val="single" w:sz="4" w:space="0" w:color="auto"/>
            </w:tcBorders>
            <w:shd w:val="clear" w:color="auto" w:fill="auto"/>
            <w:vAlign w:val="center"/>
            <w:hideMark/>
          </w:tcPr>
          <w:p w14:paraId="370C5389"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c>
          <w:tcPr>
            <w:tcW w:w="583" w:type="pct"/>
            <w:tcBorders>
              <w:top w:val="nil"/>
              <w:left w:val="nil"/>
              <w:bottom w:val="single" w:sz="4" w:space="0" w:color="auto"/>
              <w:right w:val="single" w:sz="4" w:space="0" w:color="auto"/>
            </w:tcBorders>
            <w:shd w:val="clear" w:color="auto" w:fill="auto"/>
            <w:noWrap/>
            <w:vAlign w:val="center"/>
            <w:hideMark/>
          </w:tcPr>
          <w:p w14:paraId="6EED9019"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r>
      <w:tr w:rsidR="00CA4897" w:rsidRPr="00CA4897" w14:paraId="7960929F" w14:textId="77777777" w:rsidTr="00CA4897">
        <w:trPr>
          <w:trHeight w:val="510"/>
        </w:trPr>
        <w:tc>
          <w:tcPr>
            <w:tcW w:w="329" w:type="pct"/>
            <w:tcBorders>
              <w:top w:val="nil"/>
              <w:left w:val="single" w:sz="4" w:space="0" w:color="auto"/>
              <w:bottom w:val="single" w:sz="4" w:space="0" w:color="auto"/>
              <w:right w:val="single" w:sz="4" w:space="0" w:color="auto"/>
            </w:tcBorders>
            <w:shd w:val="clear" w:color="auto" w:fill="auto"/>
            <w:vAlign w:val="center"/>
            <w:hideMark/>
          </w:tcPr>
          <w:p w14:paraId="58155893"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1.2.3</w:t>
            </w:r>
          </w:p>
        </w:tc>
        <w:tc>
          <w:tcPr>
            <w:tcW w:w="2765" w:type="pct"/>
            <w:tcBorders>
              <w:top w:val="nil"/>
              <w:left w:val="nil"/>
              <w:bottom w:val="single" w:sz="4" w:space="0" w:color="auto"/>
              <w:right w:val="single" w:sz="4" w:space="0" w:color="auto"/>
            </w:tcBorders>
            <w:shd w:val="clear" w:color="auto" w:fill="auto"/>
            <w:vAlign w:val="center"/>
            <w:hideMark/>
          </w:tcPr>
          <w:p w14:paraId="45F3DAAA" w14:textId="77777777" w:rsidR="00CA4897" w:rsidRPr="00CA4897" w:rsidRDefault="00CA4897" w:rsidP="00CA4897">
            <w:pPr>
              <w:rPr>
                <w:rFonts w:ascii="Arial Narrow" w:eastAsia="Times New Roman" w:hAnsi="Arial Narrow" w:cs="Arial"/>
                <w:sz w:val="20"/>
                <w:szCs w:val="20"/>
              </w:rPr>
            </w:pPr>
            <w:r w:rsidRPr="00CA4897">
              <w:rPr>
                <w:rFonts w:ascii="Arial Narrow" w:eastAsia="Times New Roman" w:hAnsi="Arial Narrow" w:cs="Arial"/>
                <w:sz w:val="20"/>
                <w:szCs w:val="20"/>
              </w:rPr>
              <w:t>Fórum Trabalhista de Caucaia (2 varas)</w:t>
            </w:r>
          </w:p>
        </w:tc>
        <w:tc>
          <w:tcPr>
            <w:tcW w:w="343" w:type="pct"/>
            <w:tcBorders>
              <w:top w:val="nil"/>
              <w:left w:val="nil"/>
              <w:bottom w:val="single" w:sz="4" w:space="0" w:color="auto"/>
              <w:right w:val="single" w:sz="4" w:space="0" w:color="auto"/>
            </w:tcBorders>
            <w:shd w:val="clear" w:color="auto" w:fill="auto"/>
            <w:vAlign w:val="center"/>
            <w:hideMark/>
          </w:tcPr>
          <w:p w14:paraId="37188EBD"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M²</w:t>
            </w:r>
          </w:p>
        </w:tc>
        <w:tc>
          <w:tcPr>
            <w:tcW w:w="455" w:type="pct"/>
            <w:tcBorders>
              <w:top w:val="nil"/>
              <w:left w:val="nil"/>
              <w:bottom w:val="single" w:sz="4" w:space="0" w:color="auto"/>
              <w:right w:val="single" w:sz="4" w:space="0" w:color="auto"/>
            </w:tcBorders>
            <w:shd w:val="clear" w:color="auto" w:fill="auto"/>
            <w:vAlign w:val="center"/>
            <w:hideMark/>
          </w:tcPr>
          <w:p w14:paraId="4428C07A"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626,77</w:t>
            </w:r>
          </w:p>
        </w:tc>
        <w:tc>
          <w:tcPr>
            <w:tcW w:w="524" w:type="pct"/>
            <w:tcBorders>
              <w:top w:val="nil"/>
              <w:left w:val="nil"/>
              <w:bottom w:val="single" w:sz="4" w:space="0" w:color="auto"/>
              <w:right w:val="single" w:sz="4" w:space="0" w:color="auto"/>
            </w:tcBorders>
            <w:shd w:val="clear" w:color="auto" w:fill="auto"/>
            <w:vAlign w:val="center"/>
            <w:hideMark/>
          </w:tcPr>
          <w:p w14:paraId="6A6CDDA9"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c>
          <w:tcPr>
            <w:tcW w:w="583" w:type="pct"/>
            <w:tcBorders>
              <w:top w:val="nil"/>
              <w:left w:val="nil"/>
              <w:bottom w:val="single" w:sz="4" w:space="0" w:color="auto"/>
              <w:right w:val="single" w:sz="4" w:space="0" w:color="auto"/>
            </w:tcBorders>
            <w:shd w:val="clear" w:color="auto" w:fill="auto"/>
            <w:noWrap/>
            <w:vAlign w:val="center"/>
            <w:hideMark/>
          </w:tcPr>
          <w:p w14:paraId="6D809853"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r>
      <w:tr w:rsidR="00CA4897" w:rsidRPr="00CA4897" w14:paraId="0D519B20" w14:textId="77777777" w:rsidTr="00CA4897">
        <w:trPr>
          <w:trHeight w:val="510"/>
        </w:trPr>
        <w:tc>
          <w:tcPr>
            <w:tcW w:w="329" w:type="pct"/>
            <w:tcBorders>
              <w:top w:val="nil"/>
              <w:left w:val="single" w:sz="4" w:space="0" w:color="auto"/>
              <w:bottom w:val="single" w:sz="4" w:space="0" w:color="auto"/>
              <w:right w:val="single" w:sz="4" w:space="0" w:color="auto"/>
            </w:tcBorders>
            <w:shd w:val="clear" w:color="auto" w:fill="auto"/>
            <w:vAlign w:val="center"/>
            <w:hideMark/>
          </w:tcPr>
          <w:p w14:paraId="08E5E250"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1.2.4</w:t>
            </w:r>
          </w:p>
        </w:tc>
        <w:tc>
          <w:tcPr>
            <w:tcW w:w="2765" w:type="pct"/>
            <w:tcBorders>
              <w:top w:val="nil"/>
              <w:left w:val="nil"/>
              <w:bottom w:val="single" w:sz="4" w:space="0" w:color="auto"/>
              <w:right w:val="single" w:sz="4" w:space="0" w:color="auto"/>
            </w:tcBorders>
            <w:shd w:val="clear" w:color="auto" w:fill="auto"/>
            <w:vAlign w:val="center"/>
            <w:hideMark/>
          </w:tcPr>
          <w:p w14:paraId="7627D6F9" w14:textId="77777777" w:rsidR="00CA4897" w:rsidRPr="00CA4897" w:rsidRDefault="00CA4897" w:rsidP="00CA4897">
            <w:pPr>
              <w:rPr>
                <w:rFonts w:ascii="Arial Narrow" w:eastAsia="Times New Roman" w:hAnsi="Arial Narrow" w:cs="Arial"/>
                <w:sz w:val="20"/>
                <w:szCs w:val="20"/>
              </w:rPr>
            </w:pPr>
            <w:r w:rsidRPr="00CA4897">
              <w:rPr>
                <w:rFonts w:ascii="Arial Narrow" w:eastAsia="Times New Roman" w:hAnsi="Arial Narrow" w:cs="Arial"/>
                <w:sz w:val="20"/>
                <w:szCs w:val="20"/>
              </w:rPr>
              <w:t>Vara Trabalhista do Eusébio (1 vara)</w:t>
            </w:r>
          </w:p>
        </w:tc>
        <w:tc>
          <w:tcPr>
            <w:tcW w:w="343" w:type="pct"/>
            <w:tcBorders>
              <w:top w:val="nil"/>
              <w:left w:val="nil"/>
              <w:bottom w:val="single" w:sz="4" w:space="0" w:color="auto"/>
              <w:right w:val="single" w:sz="4" w:space="0" w:color="auto"/>
            </w:tcBorders>
            <w:shd w:val="clear" w:color="auto" w:fill="auto"/>
            <w:vAlign w:val="center"/>
            <w:hideMark/>
          </w:tcPr>
          <w:p w14:paraId="716F0C55"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M²</w:t>
            </w:r>
          </w:p>
        </w:tc>
        <w:tc>
          <w:tcPr>
            <w:tcW w:w="455" w:type="pct"/>
            <w:tcBorders>
              <w:top w:val="nil"/>
              <w:left w:val="nil"/>
              <w:bottom w:val="single" w:sz="4" w:space="0" w:color="auto"/>
              <w:right w:val="single" w:sz="4" w:space="0" w:color="auto"/>
            </w:tcBorders>
            <w:shd w:val="clear" w:color="auto" w:fill="auto"/>
            <w:vAlign w:val="center"/>
            <w:hideMark/>
          </w:tcPr>
          <w:p w14:paraId="4C391F13"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451,00</w:t>
            </w:r>
          </w:p>
        </w:tc>
        <w:tc>
          <w:tcPr>
            <w:tcW w:w="524" w:type="pct"/>
            <w:tcBorders>
              <w:top w:val="nil"/>
              <w:left w:val="nil"/>
              <w:bottom w:val="single" w:sz="4" w:space="0" w:color="auto"/>
              <w:right w:val="single" w:sz="4" w:space="0" w:color="auto"/>
            </w:tcBorders>
            <w:shd w:val="clear" w:color="auto" w:fill="auto"/>
            <w:vAlign w:val="center"/>
            <w:hideMark/>
          </w:tcPr>
          <w:p w14:paraId="466A0208"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c>
          <w:tcPr>
            <w:tcW w:w="583" w:type="pct"/>
            <w:tcBorders>
              <w:top w:val="nil"/>
              <w:left w:val="nil"/>
              <w:bottom w:val="single" w:sz="4" w:space="0" w:color="auto"/>
              <w:right w:val="single" w:sz="4" w:space="0" w:color="auto"/>
            </w:tcBorders>
            <w:shd w:val="clear" w:color="auto" w:fill="auto"/>
            <w:noWrap/>
            <w:vAlign w:val="center"/>
            <w:hideMark/>
          </w:tcPr>
          <w:p w14:paraId="6BDCB67C"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r>
      <w:tr w:rsidR="00CA4897" w:rsidRPr="00CA4897" w14:paraId="75DEB459" w14:textId="77777777" w:rsidTr="00CA4897">
        <w:trPr>
          <w:trHeight w:val="510"/>
        </w:trPr>
        <w:tc>
          <w:tcPr>
            <w:tcW w:w="329" w:type="pct"/>
            <w:tcBorders>
              <w:top w:val="nil"/>
              <w:left w:val="single" w:sz="4" w:space="0" w:color="auto"/>
              <w:bottom w:val="single" w:sz="4" w:space="0" w:color="auto"/>
              <w:right w:val="single" w:sz="4" w:space="0" w:color="auto"/>
            </w:tcBorders>
            <w:shd w:val="clear" w:color="auto" w:fill="auto"/>
            <w:vAlign w:val="center"/>
            <w:hideMark/>
          </w:tcPr>
          <w:p w14:paraId="0EB8D9A5"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1.2.5</w:t>
            </w:r>
          </w:p>
        </w:tc>
        <w:tc>
          <w:tcPr>
            <w:tcW w:w="2765" w:type="pct"/>
            <w:tcBorders>
              <w:top w:val="nil"/>
              <w:left w:val="nil"/>
              <w:bottom w:val="single" w:sz="4" w:space="0" w:color="auto"/>
              <w:right w:val="single" w:sz="4" w:space="0" w:color="auto"/>
            </w:tcBorders>
            <w:shd w:val="clear" w:color="auto" w:fill="auto"/>
            <w:vAlign w:val="center"/>
            <w:hideMark/>
          </w:tcPr>
          <w:p w14:paraId="64823933" w14:textId="77777777" w:rsidR="00CA4897" w:rsidRPr="00CA4897" w:rsidRDefault="00CA4897" w:rsidP="00CA4897">
            <w:pPr>
              <w:rPr>
                <w:rFonts w:ascii="Arial Narrow" w:eastAsia="Times New Roman" w:hAnsi="Arial Narrow" w:cs="Arial"/>
                <w:sz w:val="20"/>
                <w:szCs w:val="20"/>
              </w:rPr>
            </w:pPr>
            <w:r w:rsidRPr="00CA4897">
              <w:rPr>
                <w:rFonts w:ascii="Arial Narrow" w:eastAsia="Times New Roman" w:hAnsi="Arial Narrow" w:cs="Arial"/>
                <w:sz w:val="20"/>
                <w:szCs w:val="20"/>
              </w:rPr>
              <w:t>Vara Trabalhista de Baturité (1 vara)</w:t>
            </w:r>
          </w:p>
        </w:tc>
        <w:tc>
          <w:tcPr>
            <w:tcW w:w="343" w:type="pct"/>
            <w:tcBorders>
              <w:top w:val="nil"/>
              <w:left w:val="nil"/>
              <w:bottom w:val="single" w:sz="4" w:space="0" w:color="auto"/>
              <w:right w:val="single" w:sz="4" w:space="0" w:color="auto"/>
            </w:tcBorders>
            <w:shd w:val="clear" w:color="auto" w:fill="auto"/>
            <w:vAlign w:val="center"/>
            <w:hideMark/>
          </w:tcPr>
          <w:p w14:paraId="72D94472"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M²</w:t>
            </w:r>
          </w:p>
        </w:tc>
        <w:tc>
          <w:tcPr>
            <w:tcW w:w="455" w:type="pct"/>
            <w:tcBorders>
              <w:top w:val="nil"/>
              <w:left w:val="nil"/>
              <w:bottom w:val="single" w:sz="4" w:space="0" w:color="auto"/>
              <w:right w:val="single" w:sz="4" w:space="0" w:color="auto"/>
            </w:tcBorders>
            <w:shd w:val="clear" w:color="auto" w:fill="auto"/>
            <w:vAlign w:val="center"/>
            <w:hideMark/>
          </w:tcPr>
          <w:p w14:paraId="1423D156"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440,00</w:t>
            </w:r>
          </w:p>
        </w:tc>
        <w:tc>
          <w:tcPr>
            <w:tcW w:w="524" w:type="pct"/>
            <w:tcBorders>
              <w:top w:val="nil"/>
              <w:left w:val="nil"/>
              <w:bottom w:val="single" w:sz="4" w:space="0" w:color="auto"/>
              <w:right w:val="single" w:sz="4" w:space="0" w:color="auto"/>
            </w:tcBorders>
            <w:shd w:val="clear" w:color="auto" w:fill="auto"/>
            <w:vAlign w:val="center"/>
            <w:hideMark/>
          </w:tcPr>
          <w:p w14:paraId="3D2296E6"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c>
          <w:tcPr>
            <w:tcW w:w="583" w:type="pct"/>
            <w:tcBorders>
              <w:top w:val="nil"/>
              <w:left w:val="nil"/>
              <w:bottom w:val="single" w:sz="4" w:space="0" w:color="auto"/>
              <w:right w:val="single" w:sz="4" w:space="0" w:color="auto"/>
            </w:tcBorders>
            <w:shd w:val="clear" w:color="auto" w:fill="auto"/>
            <w:noWrap/>
            <w:vAlign w:val="center"/>
            <w:hideMark/>
          </w:tcPr>
          <w:p w14:paraId="7303DA68"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r>
      <w:tr w:rsidR="00CA4897" w:rsidRPr="00CA4897" w14:paraId="16FE39A8" w14:textId="77777777" w:rsidTr="00CA4897">
        <w:trPr>
          <w:trHeight w:val="510"/>
        </w:trPr>
        <w:tc>
          <w:tcPr>
            <w:tcW w:w="329" w:type="pct"/>
            <w:tcBorders>
              <w:top w:val="nil"/>
              <w:left w:val="single" w:sz="4" w:space="0" w:color="auto"/>
              <w:bottom w:val="single" w:sz="4" w:space="0" w:color="auto"/>
              <w:right w:val="single" w:sz="4" w:space="0" w:color="auto"/>
            </w:tcBorders>
            <w:shd w:val="clear" w:color="auto" w:fill="auto"/>
            <w:vAlign w:val="center"/>
            <w:hideMark/>
          </w:tcPr>
          <w:p w14:paraId="7BB9C22C"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1.2.6</w:t>
            </w:r>
          </w:p>
        </w:tc>
        <w:tc>
          <w:tcPr>
            <w:tcW w:w="2765" w:type="pct"/>
            <w:tcBorders>
              <w:top w:val="nil"/>
              <w:left w:val="nil"/>
              <w:bottom w:val="single" w:sz="4" w:space="0" w:color="auto"/>
              <w:right w:val="single" w:sz="4" w:space="0" w:color="auto"/>
            </w:tcBorders>
            <w:shd w:val="clear" w:color="auto" w:fill="auto"/>
            <w:vAlign w:val="center"/>
            <w:hideMark/>
          </w:tcPr>
          <w:p w14:paraId="205B1E54" w14:textId="77777777" w:rsidR="00CA4897" w:rsidRPr="00CA4897" w:rsidRDefault="00CA4897" w:rsidP="00CA4897">
            <w:pPr>
              <w:rPr>
                <w:rFonts w:ascii="Arial Narrow" w:eastAsia="Times New Roman" w:hAnsi="Arial Narrow" w:cs="Arial"/>
                <w:sz w:val="20"/>
                <w:szCs w:val="20"/>
              </w:rPr>
            </w:pPr>
            <w:r w:rsidRPr="00CA4897">
              <w:rPr>
                <w:rFonts w:ascii="Arial Narrow" w:eastAsia="Times New Roman" w:hAnsi="Arial Narrow" w:cs="Arial"/>
                <w:sz w:val="20"/>
                <w:szCs w:val="20"/>
              </w:rPr>
              <w:t>Vara Trabalhista de Aracati (1 vara)</w:t>
            </w:r>
          </w:p>
        </w:tc>
        <w:tc>
          <w:tcPr>
            <w:tcW w:w="343" w:type="pct"/>
            <w:tcBorders>
              <w:top w:val="nil"/>
              <w:left w:val="nil"/>
              <w:bottom w:val="single" w:sz="4" w:space="0" w:color="auto"/>
              <w:right w:val="single" w:sz="4" w:space="0" w:color="auto"/>
            </w:tcBorders>
            <w:shd w:val="clear" w:color="auto" w:fill="auto"/>
            <w:vAlign w:val="center"/>
            <w:hideMark/>
          </w:tcPr>
          <w:p w14:paraId="62A7383B"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M²</w:t>
            </w:r>
          </w:p>
        </w:tc>
        <w:tc>
          <w:tcPr>
            <w:tcW w:w="455" w:type="pct"/>
            <w:tcBorders>
              <w:top w:val="nil"/>
              <w:left w:val="nil"/>
              <w:bottom w:val="single" w:sz="4" w:space="0" w:color="auto"/>
              <w:right w:val="single" w:sz="4" w:space="0" w:color="auto"/>
            </w:tcBorders>
            <w:shd w:val="clear" w:color="auto" w:fill="auto"/>
            <w:vAlign w:val="center"/>
            <w:hideMark/>
          </w:tcPr>
          <w:p w14:paraId="442526B8"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421,20</w:t>
            </w:r>
          </w:p>
        </w:tc>
        <w:tc>
          <w:tcPr>
            <w:tcW w:w="524" w:type="pct"/>
            <w:tcBorders>
              <w:top w:val="nil"/>
              <w:left w:val="nil"/>
              <w:bottom w:val="single" w:sz="4" w:space="0" w:color="auto"/>
              <w:right w:val="single" w:sz="4" w:space="0" w:color="auto"/>
            </w:tcBorders>
            <w:shd w:val="clear" w:color="auto" w:fill="auto"/>
            <w:vAlign w:val="center"/>
            <w:hideMark/>
          </w:tcPr>
          <w:p w14:paraId="604B4146"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c>
          <w:tcPr>
            <w:tcW w:w="583" w:type="pct"/>
            <w:tcBorders>
              <w:top w:val="nil"/>
              <w:left w:val="nil"/>
              <w:bottom w:val="single" w:sz="4" w:space="0" w:color="auto"/>
              <w:right w:val="single" w:sz="4" w:space="0" w:color="auto"/>
            </w:tcBorders>
            <w:shd w:val="clear" w:color="auto" w:fill="auto"/>
            <w:noWrap/>
            <w:vAlign w:val="center"/>
            <w:hideMark/>
          </w:tcPr>
          <w:p w14:paraId="421411DE"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r>
      <w:tr w:rsidR="00CA4897" w:rsidRPr="00CA4897" w14:paraId="1F4E77BA" w14:textId="77777777" w:rsidTr="00CA4897">
        <w:trPr>
          <w:trHeight w:val="510"/>
        </w:trPr>
        <w:tc>
          <w:tcPr>
            <w:tcW w:w="329" w:type="pct"/>
            <w:tcBorders>
              <w:top w:val="nil"/>
              <w:left w:val="single" w:sz="4" w:space="0" w:color="auto"/>
              <w:bottom w:val="single" w:sz="4" w:space="0" w:color="auto"/>
              <w:right w:val="single" w:sz="4" w:space="0" w:color="auto"/>
            </w:tcBorders>
            <w:shd w:val="clear" w:color="auto" w:fill="auto"/>
            <w:vAlign w:val="center"/>
            <w:hideMark/>
          </w:tcPr>
          <w:p w14:paraId="31F6AADD"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1.2.7</w:t>
            </w:r>
          </w:p>
        </w:tc>
        <w:tc>
          <w:tcPr>
            <w:tcW w:w="2765" w:type="pct"/>
            <w:tcBorders>
              <w:top w:val="nil"/>
              <w:left w:val="nil"/>
              <w:bottom w:val="single" w:sz="4" w:space="0" w:color="auto"/>
              <w:right w:val="single" w:sz="4" w:space="0" w:color="auto"/>
            </w:tcBorders>
            <w:shd w:val="clear" w:color="auto" w:fill="auto"/>
            <w:vAlign w:val="center"/>
            <w:hideMark/>
          </w:tcPr>
          <w:p w14:paraId="5F05A90A" w14:textId="77777777" w:rsidR="00CA4897" w:rsidRPr="00CA4897" w:rsidRDefault="00CA4897" w:rsidP="00CA4897">
            <w:pPr>
              <w:rPr>
                <w:rFonts w:ascii="Arial Narrow" w:eastAsia="Times New Roman" w:hAnsi="Arial Narrow" w:cs="Arial"/>
                <w:sz w:val="20"/>
                <w:szCs w:val="20"/>
              </w:rPr>
            </w:pPr>
            <w:r w:rsidRPr="00CA4897">
              <w:rPr>
                <w:rFonts w:ascii="Arial Narrow" w:eastAsia="Times New Roman" w:hAnsi="Arial Narrow" w:cs="Arial"/>
                <w:sz w:val="20"/>
                <w:szCs w:val="20"/>
              </w:rPr>
              <w:t>Vara Trabalhista de São Gonçalo do Amarante (1 vara)</w:t>
            </w:r>
          </w:p>
        </w:tc>
        <w:tc>
          <w:tcPr>
            <w:tcW w:w="343" w:type="pct"/>
            <w:tcBorders>
              <w:top w:val="nil"/>
              <w:left w:val="nil"/>
              <w:bottom w:val="single" w:sz="4" w:space="0" w:color="auto"/>
              <w:right w:val="single" w:sz="4" w:space="0" w:color="auto"/>
            </w:tcBorders>
            <w:shd w:val="clear" w:color="auto" w:fill="auto"/>
            <w:vAlign w:val="center"/>
            <w:hideMark/>
          </w:tcPr>
          <w:p w14:paraId="7732CCC8"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M²</w:t>
            </w:r>
          </w:p>
        </w:tc>
        <w:tc>
          <w:tcPr>
            <w:tcW w:w="455" w:type="pct"/>
            <w:tcBorders>
              <w:top w:val="nil"/>
              <w:left w:val="nil"/>
              <w:bottom w:val="single" w:sz="4" w:space="0" w:color="auto"/>
              <w:right w:val="single" w:sz="4" w:space="0" w:color="auto"/>
            </w:tcBorders>
            <w:shd w:val="clear" w:color="auto" w:fill="auto"/>
            <w:vAlign w:val="center"/>
            <w:hideMark/>
          </w:tcPr>
          <w:p w14:paraId="72E700ED"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257,47</w:t>
            </w:r>
          </w:p>
        </w:tc>
        <w:tc>
          <w:tcPr>
            <w:tcW w:w="524" w:type="pct"/>
            <w:tcBorders>
              <w:top w:val="nil"/>
              <w:left w:val="nil"/>
              <w:bottom w:val="single" w:sz="4" w:space="0" w:color="auto"/>
              <w:right w:val="single" w:sz="4" w:space="0" w:color="auto"/>
            </w:tcBorders>
            <w:shd w:val="clear" w:color="auto" w:fill="auto"/>
            <w:vAlign w:val="center"/>
            <w:hideMark/>
          </w:tcPr>
          <w:p w14:paraId="231B7012"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c>
          <w:tcPr>
            <w:tcW w:w="583" w:type="pct"/>
            <w:tcBorders>
              <w:top w:val="nil"/>
              <w:left w:val="nil"/>
              <w:bottom w:val="single" w:sz="4" w:space="0" w:color="auto"/>
              <w:right w:val="single" w:sz="4" w:space="0" w:color="auto"/>
            </w:tcBorders>
            <w:shd w:val="clear" w:color="auto" w:fill="auto"/>
            <w:noWrap/>
            <w:vAlign w:val="center"/>
            <w:hideMark/>
          </w:tcPr>
          <w:p w14:paraId="6EA732A3"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r>
      <w:tr w:rsidR="00CA4897" w:rsidRPr="00CA4897" w14:paraId="7DB5E3B5" w14:textId="77777777" w:rsidTr="00CA4897">
        <w:trPr>
          <w:trHeight w:val="510"/>
        </w:trPr>
        <w:tc>
          <w:tcPr>
            <w:tcW w:w="329" w:type="pct"/>
            <w:tcBorders>
              <w:top w:val="nil"/>
              <w:left w:val="single" w:sz="4" w:space="0" w:color="auto"/>
              <w:bottom w:val="single" w:sz="4" w:space="0" w:color="auto"/>
              <w:right w:val="single" w:sz="4" w:space="0" w:color="auto"/>
            </w:tcBorders>
            <w:shd w:val="clear" w:color="auto" w:fill="auto"/>
            <w:vAlign w:val="center"/>
            <w:hideMark/>
          </w:tcPr>
          <w:p w14:paraId="2053CC40"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1.2.8</w:t>
            </w:r>
          </w:p>
        </w:tc>
        <w:tc>
          <w:tcPr>
            <w:tcW w:w="2765" w:type="pct"/>
            <w:tcBorders>
              <w:top w:val="nil"/>
              <w:left w:val="nil"/>
              <w:bottom w:val="single" w:sz="4" w:space="0" w:color="auto"/>
              <w:right w:val="single" w:sz="4" w:space="0" w:color="auto"/>
            </w:tcBorders>
            <w:shd w:val="clear" w:color="auto" w:fill="auto"/>
            <w:vAlign w:val="center"/>
            <w:hideMark/>
          </w:tcPr>
          <w:p w14:paraId="49CF7722" w14:textId="77777777" w:rsidR="00CA4897" w:rsidRPr="00CA4897" w:rsidRDefault="00CA4897" w:rsidP="00CA4897">
            <w:pPr>
              <w:rPr>
                <w:rFonts w:ascii="Arial Narrow" w:eastAsia="Times New Roman" w:hAnsi="Arial Narrow" w:cs="Arial"/>
                <w:sz w:val="20"/>
                <w:szCs w:val="20"/>
              </w:rPr>
            </w:pPr>
            <w:r w:rsidRPr="00CA4897">
              <w:rPr>
                <w:rFonts w:ascii="Arial Narrow" w:eastAsia="Times New Roman" w:hAnsi="Arial Narrow" w:cs="Arial"/>
                <w:sz w:val="20"/>
                <w:szCs w:val="20"/>
              </w:rPr>
              <w:t>Vara Trabalhista de Limoeiro do Norte (1 vara)</w:t>
            </w:r>
          </w:p>
        </w:tc>
        <w:tc>
          <w:tcPr>
            <w:tcW w:w="343" w:type="pct"/>
            <w:tcBorders>
              <w:top w:val="nil"/>
              <w:left w:val="nil"/>
              <w:bottom w:val="single" w:sz="4" w:space="0" w:color="auto"/>
              <w:right w:val="single" w:sz="4" w:space="0" w:color="auto"/>
            </w:tcBorders>
            <w:shd w:val="clear" w:color="auto" w:fill="auto"/>
            <w:vAlign w:val="center"/>
            <w:hideMark/>
          </w:tcPr>
          <w:p w14:paraId="371A42EC"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M²</w:t>
            </w:r>
          </w:p>
        </w:tc>
        <w:tc>
          <w:tcPr>
            <w:tcW w:w="455" w:type="pct"/>
            <w:tcBorders>
              <w:top w:val="nil"/>
              <w:left w:val="nil"/>
              <w:bottom w:val="single" w:sz="4" w:space="0" w:color="auto"/>
              <w:right w:val="single" w:sz="4" w:space="0" w:color="auto"/>
            </w:tcBorders>
            <w:shd w:val="clear" w:color="auto" w:fill="auto"/>
            <w:vAlign w:val="center"/>
            <w:hideMark/>
          </w:tcPr>
          <w:p w14:paraId="05861CF9"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440,96</w:t>
            </w:r>
          </w:p>
        </w:tc>
        <w:tc>
          <w:tcPr>
            <w:tcW w:w="524" w:type="pct"/>
            <w:tcBorders>
              <w:top w:val="nil"/>
              <w:left w:val="nil"/>
              <w:bottom w:val="single" w:sz="4" w:space="0" w:color="auto"/>
              <w:right w:val="single" w:sz="4" w:space="0" w:color="auto"/>
            </w:tcBorders>
            <w:shd w:val="clear" w:color="auto" w:fill="auto"/>
            <w:vAlign w:val="center"/>
            <w:hideMark/>
          </w:tcPr>
          <w:p w14:paraId="051229A5"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c>
          <w:tcPr>
            <w:tcW w:w="583" w:type="pct"/>
            <w:tcBorders>
              <w:top w:val="nil"/>
              <w:left w:val="nil"/>
              <w:bottom w:val="single" w:sz="4" w:space="0" w:color="auto"/>
              <w:right w:val="single" w:sz="4" w:space="0" w:color="auto"/>
            </w:tcBorders>
            <w:shd w:val="clear" w:color="auto" w:fill="auto"/>
            <w:noWrap/>
            <w:vAlign w:val="center"/>
            <w:hideMark/>
          </w:tcPr>
          <w:p w14:paraId="24D4405D"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r>
      <w:tr w:rsidR="00CA4897" w:rsidRPr="00CA4897" w14:paraId="5821F654" w14:textId="77777777" w:rsidTr="00CA4897">
        <w:trPr>
          <w:trHeight w:val="510"/>
        </w:trPr>
        <w:tc>
          <w:tcPr>
            <w:tcW w:w="329" w:type="pct"/>
            <w:tcBorders>
              <w:top w:val="nil"/>
              <w:left w:val="single" w:sz="4" w:space="0" w:color="auto"/>
              <w:bottom w:val="single" w:sz="4" w:space="0" w:color="auto"/>
              <w:right w:val="single" w:sz="4" w:space="0" w:color="auto"/>
            </w:tcBorders>
            <w:shd w:val="clear" w:color="auto" w:fill="auto"/>
            <w:vAlign w:val="center"/>
            <w:hideMark/>
          </w:tcPr>
          <w:p w14:paraId="45ED923C"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1.2.9</w:t>
            </w:r>
          </w:p>
        </w:tc>
        <w:tc>
          <w:tcPr>
            <w:tcW w:w="2765" w:type="pct"/>
            <w:tcBorders>
              <w:top w:val="nil"/>
              <w:left w:val="nil"/>
              <w:bottom w:val="single" w:sz="4" w:space="0" w:color="auto"/>
              <w:right w:val="single" w:sz="4" w:space="0" w:color="auto"/>
            </w:tcBorders>
            <w:shd w:val="clear" w:color="auto" w:fill="auto"/>
            <w:vAlign w:val="center"/>
            <w:hideMark/>
          </w:tcPr>
          <w:p w14:paraId="460FEED3" w14:textId="77777777" w:rsidR="00CA4897" w:rsidRPr="00CA4897" w:rsidRDefault="00CA4897" w:rsidP="00CA4897">
            <w:pPr>
              <w:rPr>
                <w:rFonts w:ascii="Arial Narrow" w:eastAsia="Times New Roman" w:hAnsi="Arial Narrow" w:cs="Arial"/>
                <w:sz w:val="20"/>
                <w:szCs w:val="20"/>
              </w:rPr>
            </w:pPr>
            <w:r w:rsidRPr="00CA4897">
              <w:rPr>
                <w:rFonts w:ascii="Arial Narrow" w:eastAsia="Times New Roman" w:hAnsi="Arial Narrow" w:cs="Arial"/>
                <w:sz w:val="20"/>
                <w:szCs w:val="20"/>
              </w:rPr>
              <w:t>ANOTAÇÃO DE RESPONSABILIDADE TÉCNICA PARA LAUDO TÉCNICO - FAIXA 01</w:t>
            </w:r>
          </w:p>
        </w:tc>
        <w:tc>
          <w:tcPr>
            <w:tcW w:w="343" w:type="pct"/>
            <w:tcBorders>
              <w:top w:val="nil"/>
              <w:left w:val="nil"/>
              <w:bottom w:val="single" w:sz="4" w:space="0" w:color="auto"/>
              <w:right w:val="single" w:sz="4" w:space="0" w:color="auto"/>
            </w:tcBorders>
            <w:shd w:val="clear" w:color="auto" w:fill="auto"/>
            <w:vAlign w:val="center"/>
            <w:hideMark/>
          </w:tcPr>
          <w:p w14:paraId="6C49E51F"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UD</w:t>
            </w:r>
          </w:p>
        </w:tc>
        <w:tc>
          <w:tcPr>
            <w:tcW w:w="455" w:type="pct"/>
            <w:tcBorders>
              <w:top w:val="nil"/>
              <w:left w:val="nil"/>
              <w:bottom w:val="single" w:sz="4" w:space="0" w:color="auto"/>
              <w:right w:val="single" w:sz="4" w:space="0" w:color="auto"/>
            </w:tcBorders>
            <w:shd w:val="clear" w:color="auto" w:fill="auto"/>
            <w:vAlign w:val="center"/>
            <w:hideMark/>
          </w:tcPr>
          <w:p w14:paraId="69E7D99C"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16,00</w:t>
            </w:r>
          </w:p>
        </w:tc>
        <w:tc>
          <w:tcPr>
            <w:tcW w:w="524" w:type="pct"/>
            <w:tcBorders>
              <w:top w:val="nil"/>
              <w:left w:val="nil"/>
              <w:bottom w:val="single" w:sz="4" w:space="0" w:color="auto"/>
              <w:right w:val="single" w:sz="4" w:space="0" w:color="auto"/>
            </w:tcBorders>
            <w:shd w:val="clear" w:color="auto" w:fill="auto"/>
            <w:vAlign w:val="center"/>
            <w:hideMark/>
          </w:tcPr>
          <w:p w14:paraId="7E941F8B"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c>
          <w:tcPr>
            <w:tcW w:w="583" w:type="pct"/>
            <w:tcBorders>
              <w:top w:val="nil"/>
              <w:left w:val="nil"/>
              <w:bottom w:val="single" w:sz="4" w:space="0" w:color="auto"/>
              <w:right w:val="single" w:sz="4" w:space="0" w:color="auto"/>
            </w:tcBorders>
            <w:shd w:val="clear" w:color="auto" w:fill="auto"/>
            <w:noWrap/>
            <w:vAlign w:val="center"/>
            <w:hideMark/>
          </w:tcPr>
          <w:p w14:paraId="138B0A97"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r>
      <w:tr w:rsidR="00CA4897" w:rsidRPr="00CA4897" w14:paraId="1B587343" w14:textId="77777777" w:rsidTr="00CA4897">
        <w:trPr>
          <w:trHeight w:val="510"/>
        </w:trPr>
        <w:tc>
          <w:tcPr>
            <w:tcW w:w="329" w:type="pct"/>
            <w:tcBorders>
              <w:top w:val="nil"/>
              <w:left w:val="single" w:sz="4" w:space="0" w:color="auto"/>
              <w:bottom w:val="single" w:sz="4" w:space="0" w:color="auto"/>
              <w:right w:val="single" w:sz="4" w:space="0" w:color="auto"/>
            </w:tcBorders>
            <w:shd w:val="clear" w:color="000000" w:fill="FFE699"/>
            <w:vAlign w:val="center"/>
            <w:hideMark/>
          </w:tcPr>
          <w:p w14:paraId="29F3EC8D" w14:textId="77777777" w:rsidR="00CA4897" w:rsidRPr="00CA4897" w:rsidRDefault="00CA4897" w:rsidP="00CA4897">
            <w:pPr>
              <w:jc w:val="center"/>
              <w:rPr>
                <w:rFonts w:ascii="Arial Narrow" w:eastAsia="Times New Roman" w:hAnsi="Arial Narrow" w:cs="Arial"/>
                <w:b/>
                <w:bCs/>
                <w:sz w:val="20"/>
                <w:szCs w:val="20"/>
              </w:rPr>
            </w:pPr>
            <w:r w:rsidRPr="00CA4897">
              <w:rPr>
                <w:rFonts w:ascii="Arial Narrow" w:eastAsia="Times New Roman" w:hAnsi="Arial Narrow" w:cs="Arial"/>
                <w:b/>
                <w:bCs/>
                <w:sz w:val="20"/>
                <w:szCs w:val="20"/>
              </w:rPr>
              <w:t>1.3</w:t>
            </w:r>
          </w:p>
        </w:tc>
        <w:tc>
          <w:tcPr>
            <w:tcW w:w="4671" w:type="pct"/>
            <w:gridSpan w:val="5"/>
            <w:tcBorders>
              <w:top w:val="single" w:sz="4" w:space="0" w:color="auto"/>
              <w:left w:val="nil"/>
              <w:bottom w:val="single" w:sz="4" w:space="0" w:color="auto"/>
              <w:right w:val="single" w:sz="4" w:space="0" w:color="000000"/>
            </w:tcBorders>
            <w:shd w:val="clear" w:color="000000" w:fill="FFE699"/>
            <w:vAlign w:val="center"/>
            <w:hideMark/>
          </w:tcPr>
          <w:p w14:paraId="0DC6B69E" w14:textId="77777777" w:rsidR="00CA4897" w:rsidRPr="00CA4897" w:rsidRDefault="00CA4897" w:rsidP="00CA4897">
            <w:pPr>
              <w:rPr>
                <w:rFonts w:ascii="Arial Narrow" w:eastAsia="Times New Roman" w:hAnsi="Arial Narrow" w:cs="Arial"/>
                <w:b/>
                <w:bCs/>
                <w:sz w:val="20"/>
                <w:szCs w:val="20"/>
              </w:rPr>
            </w:pPr>
            <w:r w:rsidRPr="00CA4897">
              <w:rPr>
                <w:rFonts w:ascii="Arial Narrow" w:eastAsia="Times New Roman" w:hAnsi="Arial Narrow" w:cs="Arial"/>
                <w:b/>
                <w:bCs/>
                <w:sz w:val="20"/>
                <w:szCs w:val="20"/>
              </w:rPr>
              <w:t>MUNICÍPIOS DE MARACANAÚ, SOBRAL e CRATEÚS (BDI 03)</w:t>
            </w:r>
          </w:p>
        </w:tc>
      </w:tr>
      <w:tr w:rsidR="00CA4897" w:rsidRPr="00CA4897" w14:paraId="44DC02DA" w14:textId="77777777" w:rsidTr="00CA4897">
        <w:trPr>
          <w:trHeight w:val="510"/>
        </w:trPr>
        <w:tc>
          <w:tcPr>
            <w:tcW w:w="329" w:type="pct"/>
            <w:tcBorders>
              <w:top w:val="nil"/>
              <w:left w:val="single" w:sz="4" w:space="0" w:color="auto"/>
              <w:bottom w:val="single" w:sz="4" w:space="0" w:color="auto"/>
              <w:right w:val="single" w:sz="4" w:space="0" w:color="auto"/>
            </w:tcBorders>
            <w:shd w:val="clear" w:color="auto" w:fill="auto"/>
            <w:vAlign w:val="center"/>
            <w:hideMark/>
          </w:tcPr>
          <w:p w14:paraId="2B4A9D18"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1.3.1</w:t>
            </w:r>
          </w:p>
        </w:tc>
        <w:tc>
          <w:tcPr>
            <w:tcW w:w="2765" w:type="pct"/>
            <w:tcBorders>
              <w:top w:val="nil"/>
              <w:left w:val="nil"/>
              <w:bottom w:val="single" w:sz="4" w:space="0" w:color="auto"/>
              <w:right w:val="single" w:sz="4" w:space="0" w:color="auto"/>
            </w:tcBorders>
            <w:shd w:val="clear" w:color="auto" w:fill="auto"/>
            <w:vAlign w:val="center"/>
            <w:hideMark/>
          </w:tcPr>
          <w:p w14:paraId="68796DB2" w14:textId="77777777" w:rsidR="00CA4897" w:rsidRPr="00CA4897" w:rsidRDefault="00CA4897" w:rsidP="00CA4897">
            <w:pPr>
              <w:rPr>
                <w:rFonts w:ascii="Arial Narrow" w:eastAsia="Times New Roman" w:hAnsi="Arial Narrow" w:cs="Arial"/>
                <w:sz w:val="20"/>
                <w:szCs w:val="20"/>
              </w:rPr>
            </w:pPr>
            <w:r w:rsidRPr="00CA4897">
              <w:rPr>
                <w:rFonts w:ascii="Arial Narrow" w:eastAsia="Times New Roman" w:hAnsi="Arial Narrow" w:cs="Arial"/>
                <w:sz w:val="20"/>
                <w:szCs w:val="20"/>
              </w:rPr>
              <w:t>Fórum Trabalhista de Maracanaú (2 varas)</w:t>
            </w:r>
          </w:p>
        </w:tc>
        <w:tc>
          <w:tcPr>
            <w:tcW w:w="343" w:type="pct"/>
            <w:tcBorders>
              <w:top w:val="nil"/>
              <w:left w:val="nil"/>
              <w:bottom w:val="single" w:sz="4" w:space="0" w:color="auto"/>
              <w:right w:val="single" w:sz="4" w:space="0" w:color="auto"/>
            </w:tcBorders>
            <w:shd w:val="clear" w:color="auto" w:fill="auto"/>
            <w:vAlign w:val="center"/>
            <w:hideMark/>
          </w:tcPr>
          <w:p w14:paraId="1572268D"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M²</w:t>
            </w:r>
          </w:p>
        </w:tc>
        <w:tc>
          <w:tcPr>
            <w:tcW w:w="455" w:type="pct"/>
            <w:tcBorders>
              <w:top w:val="nil"/>
              <w:left w:val="nil"/>
              <w:bottom w:val="single" w:sz="4" w:space="0" w:color="auto"/>
              <w:right w:val="single" w:sz="4" w:space="0" w:color="auto"/>
            </w:tcBorders>
            <w:shd w:val="clear" w:color="auto" w:fill="auto"/>
            <w:vAlign w:val="center"/>
            <w:hideMark/>
          </w:tcPr>
          <w:p w14:paraId="573D9D61"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741,34</w:t>
            </w:r>
          </w:p>
        </w:tc>
        <w:tc>
          <w:tcPr>
            <w:tcW w:w="524" w:type="pct"/>
            <w:tcBorders>
              <w:top w:val="nil"/>
              <w:left w:val="nil"/>
              <w:bottom w:val="single" w:sz="4" w:space="0" w:color="auto"/>
              <w:right w:val="single" w:sz="4" w:space="0" w:color="auto"/>
            </w:tcBorders>
            <w:shd w:val="clear" w:color="auto" w:fill="auto"/>
            <w:vAlign w:val="center"/>
            <w:hideMark/>
          </w:tcPr>
          <w:p w14:paraId="71CB67E1"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c>
          <w:tcPr>
            <w:tcW w:w="583" w:type="pct"/>
            <w:tcBorders>
              <w:top w:val="nil"/>
              <w:left w:val="nil"/>
              <w:bottom w:val="single" w:sz="4" w:space="0" w:color="auto"/>
              <w:right w:val="single" w:sz="4" w:space="0" w:color="auto"/>
            </w:tcBorders>
            <w:shd w:val="clear" w:color="auto" w:fill="auto"/>
            <w:noWrap/>
            <w:vAlign w:val="center"/>
            <w:hideMark/>
          </w:tcPr>
          <w:p w14:paraId="235D142F"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r>
      <w:tr w:rsidR="00CA4897" w:rsidRPr="00CA4897" w14:paraId="6C8499AA" w14:textId="77777777" w:rsidTr="00CA4897">
        <w:trPr>
          <w:trHeight w:val="510"/>
        </w:trPr>
        <w:tc>
          <w:tcPr>
            <w:tcW w:w="329" w:type="pct"/>
            <w:tcBorders>
              <w:top w:val="nil"/>
              <w:left w:val="single" w:sz="4" w:space="0" w:color="auto"/>
              <w:bottom w:val="single" w:sz="4" w:space="0" w:color="auto"/>
              <w:right w:val="single" w:sz="4" w:space="0" w:color="auto"/>
            </w:tcBorders>
            <w:shd w:val="clear" w:color="auto" w:fill="auto"/>
            <w:vAlign w:val="center"/>
            <w:hideMark/>
          </w:tcPr>
          <w:p w14:paraId="47662C61"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1.3.2</w:t>
            </w:r>
          </w:p>
        </w:tc>
        <w:tc>
          <w:tcPr>
            <w:tcW w:w="2765" w:type="pct"/>
            <w:tcBorders>
              <w:top w:val="nil"/>
              <w:left w:val="nil"/>
              <w:bottom w:val="single" w:sz="4" w:space="0" w:color="auto"/>
              <w:right w:val="single" w:sz="4" w:space="0" w:color="auto"/>
            </w:tcBorders>
            <w:shd w:val="clear" w:color="auto" w:fill="auto"/>
            <w:vAlign w:val="center"/>
            <w:hideMark/>
          </w:tcPr>
          <w:p w14:paraId="35C14E25" w14:textId="77777777" w:rsidR="00CA4897" w:rsidRPr="00CA4897" w:rsidRDefault="00CA4897" w:rsidP="00CA4897">
            <w:pPr>
              <w:rPr>
                <w:rFonts w:ascii="Arial Narrow" w:eastAsia="Times New Roman" w:hAnsi="Arial Narrow" w:cs="Arial"/>
                <w:sz w:val="20"/>
                <w:szCs w:val="20"/>
              </w:rPr>
            </w:pPr>
            <w:r w:rsidRPr="00CA4897">
              <w:rPr>
                <w:rFonts w:ascii="Arial Narrow" w:eastAsia="Times New Roman" w:hAnsi="Arial Narrow" w:cs="Arial"/>
                <w:sz w:val="20"/>
                <w:szCs w:val="20"/>
              </w:rPr>
              <w:t>Fórum Trabalhista de Sobral (2 varas)</w:t>
            </w:r>
          </w:p>
        </w:tc>
        <w:tc>
          <w:tcPr>
            <w:tcW w:w="343" w:type="pct"/>
            <w:tcBorders>
              <w:top w:val="nil"/>
              <w:left w:val="nil"/>
              <w:bottom w:val="single" w:sz="4" w:space="0" w:color="auto"/>
              <w:right w:val="single" w:sz="4" w:space="0" w:color="auto"/>
            </w:tcBorders>
            <w:shd w:val="clear" w:color="auto" w:fill="auto"/>
            <w:vAlign w:val="center"/>
            <w:hideMark/>
          </w:tcPr>
          <w:p w14:paraId="53DFB12A"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M²</w:t>
            </w:r>
          </w:p>
        </w:tc>
        <w:tc>
          <w:tcPr>
            <w:tcW w:w="455" w:type="pct"/>
            <w:tcBorders>
              <w:top w:val="nil"/>
              <w:left w:val="nil"/>
              <w:bottom w:val="single" w:sz="4" w:space="0" w:color="auto"/>
              <w:right w:val="single" w:sz="4" w:space="0" w:color="auto"/>
            </w:tcBorders>
            <w:shd w:val="clear" w:color="auto" w:fill="auto"/>
            <w:vAlign w:val="center"/>
            <w:hideMark/>
          </w:tcPr>
          <w:p w14:paraId="479C7C49"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798,16</w:t>
            </w:r>
          </w:p>
        </w:tc>
        <w:tc>
          <w:tcPr>
            <w:tcW w:w="524" w:type="pct"/>
            <w:tcBorders>
              <w:top w:val="nil"/>
              <w:left w:val="nil"/>
              <w:bottom w:val="single" w:sz="4" w:space="0" w:color="auto"/>
              <w:right w:val="single" w:sz="4" w:space="0" w:color="auto"/>
            </w:tcBorders>
            <w:shd w:val="clear" w:color="auto" w:fill="auto"/>
            <w:vAlign w:val="center"/>
            <w:hideMark/>
          </w:tcPr>
          <w:p w14:paraId="5958E92A"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c>
          <w:tcPr>
            <w:tcW w:w="583" w:type="pct"/>
            <w:tcBorders>
              <w:top w:val="nil"/>
              <w:left w:val="nil"/>
              <w:bottom w:val="single" w:sz="4" w:space="0" w:color="auto"/>
              <w:right w:val="single" w:sz="4" w:space="0" w:color="auto"/>
            </w:tcBorders>
            <w:shd w:val="clear" w:color="auto" w:fill="auto"/>
            <w:noWrap/>
            <w:vAlign w:val="center"/>
            <w:hideMark/>
          </w:tcPr>
          <w:p w14:paraId="42F5D8A2"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r>
      <w:tr w:rsidR="00CA4897" w:rsidRPr="00CA4897" w14:paraId="75A15DD4" w14:textId="77777777" w:rsidTr="00CA4897">
        <w:trPr>
          <w:trHeight w:val="510"/>
        </w:trPr>
        <w:tc>
          <w:tcPr>
            <w:tcW w:w="329" w:type="pct"/>
            <w:tcBorders>
              <w:top w:val="nil"/>
              <w:left w:val="single" w:sz="4" w:space="0" w:color="auto"/>
              <w:bottom w:val="single" w:sz="4" w:space="0" w:color="auto"/>
              <w:right w:val="single" w:sz="4" w:space="0" w:color="auto"/>
            </w:tcBorders>
            <w:shd w:val="clear" w:color="auto" w:fill="auto"/>
            <w:vAlign w:val="center"/>
            <w:hideMark/>
          </w:tcPr>
          <w:p w14:paraId="3607EE4B"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1.3.3</w:t>
            </w:r>
          </w:p>
        </w:tc>
        <w:tc>
          <w:tcPr>
            <w:tcW w:w="2765" w:type="pct"/>
            <w:tcBorders>
              <w:top w:val="nil"/>
              <w:left w:val="nil"/>
              <w:bottom w:val="single" w:sz="4" w:space="0" w:color="auto"/>
              <w:right w:val="single" w:sz="4" w:space="0" w:color="auto"/>
            </w:tcBorders>
            <w:shd w:val="clear" w:color="auto" w:fill="auto"/>
            <w:vAlign w:val="center"/>
            <w:hideMark/>
          </w:tcPr>
          <w:p w14:paraId="694D7D7F" w14:textId="77777777" w:rsidR="00CA4897" w:rsidRPr="00CA4897" w:rsidRDefault="00CA4897" w:rsidP="00CA4897">
            <w:pPr>
              <w:rPr>
                <w:rFonts w:ascii="Arial Narrow" w:eastAsia="Times New Roman" w:hAnsi="Arial Narrow" w:cs="Arial"/>
                <w:sz w:val="20"/>
                <w:szCs w:val="20"/>
              </w:rPr>
            </w:pPr>
            <w:r w:rsidRPr="00CA4897">
              <w:rPr>
                <w:rFonts w:ascii="Arial Narrow" w:eastAsia="Times New Roman" w:hAnsi="Arial Narrow" w:cs="Arial"/>
                <w:sz w:val="20"/>
                <w:szCs w:val="20"/>
              </w:rPr>
              <w:t>Vara Trabalhista de Crateús (1 vara)</w:t>
            </w:r>
          </w:p>
        </w:tc>
        <w:tc>
          <w:tcPr>
            <w:tcW w:w="343" w:type="pct"/>
            <w:tcBorders>
              <w:top w:val="nil"/>
              <w:left w:val="nil"/>
              <w:bottom w:val="single" w:sz="4" w:space="0" w:color="auto"/>
              <w:right w:val="single" w:sz="4" w:space="0" w:color="auto"/>
            </w:tcBorders>
            <w:shd w:val="clear" w:color="auto" w:fill="auto"/>
            <w:vAlign w:val="center"/>
            <w:hideMark/>
          </w:tcPr>
          <w:p w14:paraId="5CD47190"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M²</w:t>
            </w:r>
          </w:p>
        </w:tc>
        <w:tc>
          <w:tcPr>
            <w:tcW w:w="455" w:type="pct"/>
            <w:tcBorders>
              <w:top w:val="nil"/>
              <w:left w:val="nil"/>
              <w:bottom w:val="single" w:sz="4" w:space="0" w:color="auto"/>
              <w:right w:val="single" w:sz="4" w:space="0" w:color="auto"/>
            </w:tcBorders>
            <w:shd w:val="clear" w:color="auto" w:fill="auto"/>
            <w:vAlign w:val="center"/>
            <w:hideMark/>
          </w:tcPr>
          <w:p w14:paraId="5D1587E3"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440,96</w:t>
            </w:r>
          </w:p>
        </w:tc>
        <w:tc>
          <w:tcPr>
            <w:tcW w:w="524" w:type="pct"/>
            <w:tcBorders>
              <w:top w:val="nil"/>
              <w:left w:val="nil"/>
              <w:bottom w:val="single" w:sz="4" w:space="0" w:color="auto"/>
              <w:right w:val="single" w:sz="4" w:space="0" w:color="auto"/>
            </w:tcBorders>
            <w:shd w:val="clear" w:color="auto" w:fill="auto"/>
            <w:vAlign w:val="center"/>
            <w:hideMark/>
          </w:tcPr>
          <w:p w14:paraId="1E0B02DB"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c>
          <w:tcPr>
            <w:tcW w:w="583" w:type="pct"/>
            <w:tcBorders>
              <w:top w:val="nil"/>
              <w:left w:val="nil"/>
              <w:bottom w:val="single" w:sz="4" w:space="0" w:color="auto"/>
              <w:right w:val="single" w:sz="4" w:space="0" w:color="auto"/>
            </w:tcBorders>
            <w:shd w:val="clear" w:color="auto" w:fill="auto"/>
            <w:noWrap/>
            <w:vAlign w:val="center"/>
            <w:hideMark/>
          </w:tcPr>
          <w:p w14:paraId="27795AE9"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r>
      <w:tr w:rsidR="00CA4897" w:rsidRPr="00CA4897" w14:paraId="6293424E" w14:textId="77777777" w:rsidTr="00CA4897">
        <w:trPr>
          <w:trHeight w:val="510"/>
        </w:trPr>
        <w:tc>
          <w:tcPr>
            <w:tcW w:w="329" w:type="pct"/>
            <w:tcBorders>
              <w:top w:val="nil"/>
              <w:left w:val="single" w:sz="4" w:space="0" w:color="auto"/>
              <w:bottom w:val="single" w:sz="4" w:space="0" w:color="auto"/>
              <w:right w:val="single" w:sz="4" w:space="0" w:color="auto"/>
            </w:tcBorders>
            <w:shd w:val="clear" w:color="auto" w:fill="auto"/>
            <w:vAlign w:val="center"/>
            <w:hideMark/>
          </w:tcPr>
          <w:p w14:paraId="4A998F44"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1.3.4</w:t>
            </w:r>
          </w:p>
        </w:tc>
        <w:tc>
          <w:tcPr>
            <w:tcW w:w="2765" w:type="pct"/>
            <w:tcBorders>
              <w:top w:val="nil"/>
              <w:left w:val="nil"/>
              <w:bottom w:val="single" w:sz="4" w:space="0" w:color="auto"/>
              <w:right w:val="single" w:sz="4" w:space="0" w:color="auto"/>
            </w:tcBorders>
            <w:shd w:val="clear" w:color="auto" w:fill="auto"/>
            <w:vAlign w:val="center"/>
            <w:hideMark/>
          </w:tcPr>
          <w:p w14:paraId="001A0A49" w14:textId="77777777" w:rsidR="00CA4897" w:rsidRPr="00CA4897" w:rsidRDefault="00CA4897" w:rsidP="00CA4897">
            <w:pPr>
              <w:rPr>
                <w:rFonts w:ascii="Arial Narrow" w:eastAsia="Times New Roman" w:hAnsi="Arial Narrow" w:cs="Arial"/>
                <w:sz w:val="20"/>
                <w:szCs w:val="20"/>
              </w:rPr>
            </w:pPr>
            <w:r w:rsidRPr="00CA4897">
              <w:rPr>
                <w:rFonts w:ascii="Arial Narrow" w:eastAsia="Times New Roman" w:hAnsi="Arial Narrow" w:cs="Arial"/>
                <w:sz w:val="20"/>
                <w:szCs w:val="20"/>
              </w:rPr>
              <w:t>ANOTAÇÃO DE RESPONSABILIDADE TÉCNICA PARA LAUDO TÉCNICO - FAIXA 01</w:t>
            </w:r>
          </w:p>
        </w:tc>
        <w:tc>
          <w:tcPr>
            <w:tcW w:w="343" w:type="pct"/>
            <w:tcBorders>
              <w:top w:val="nil"/>
              <w:left w:val="nil"/>
              <w:bottom w:val="single" w:sz="4" w:space="0" w:color="auto"/>
              <w:right w:val="single" w:sz="4" w:space="0" w:color="auto"/>
            </w:tcBorders>
            <w:shd w:val="clear" w:color="auto" w:fill="auto"/>
            <w:vAlign w:val="center"/>
            <w:hideMark/>
          </w:tcPr>
          <w:p w14:paraId="02093930"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UD</w:t>
            </w:r>
          </w:p>
        </w:tc>
        <w:tc>
          <w:tcPr>
            <w:tcW w:w="455" w:type="pct"/>
            <w:tcBorders>
              <w:top w:val="nil"/>
              <w:left w:val="nil"/>
              <w:bottom w:val="single" w:sz="4" w:space="0" w:color="auto"/>
              <w:right w:val="single" w:sz="4" w:space="0" w:color="auto"/>
            </w:tcBorders>
            <w:shd w:val="clear" w:color="auto" w:fill="auto"/>
            <w:vAlign w:val="center"/>
            <w:hideMark/>
          </w:tcPr>
          <w:p w14:paraId="36E38F6D"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7,00</w:t>
            </w:r>
          </w:p>
        </w:tc>
        <w:tc>
          <w:tcPr>
            <w:tcW w:w="524" w:type="pct"/>
            <w:tcBorders>
              <w:top w:val="nil"/>
              <w:left w:val="nil"/>
              <w:bottom w:val="single" w:sz="4" w:space="0" w:color="auto"/>
              <w:right w:val="single" w:sz="4" w:space="0" w:color="auto"/>
            </w:tcBorders>
            <w:shd w:val="clear" w:color="auto" w:fill="auto"/>
            <w:vAlign w:val="center"/>
            <w:hideMark/>
          </w:tcPr>
          <w:p w14:paraId="53021829"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c>
          <w:tcPr>
            <w:tcW w:w="583" w:type="pct"/>
            <w:tcBorders>
              <w:top w:val="nil"/>
              <w:left w:val="nil"/>
              <w:bottom w:val="single" w:sz="4" w:space="0" w:color="auto"/>
              <w:right w:val="single" w:sz="4" w:space="0" w:color="auto"/>
            </w:tcBorders>
            <w:shd w:val="clear" w:color="auto" w:fill="auto"/>
            <w:noWrap/>
            <w:vAlign w:val="center"/>
            <w:hideMark/>
          </w:tcPr>
          <w:p w14:paraId="1265B311"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r>
      <w:tr w:rsidR="00CA4897" w:rsidRPr="00CA4897" w14:paraId="229AE91B" w14:textId="77777777" w:rsidTr="00CA4897">
        <w:trPr>
          <w:trHeight w:val="510"/>
        </w:trPr>
        <w:tc>
          <w:tcPr>
            <w:tcW w:w="329" w:type="pct"/>
            <w:tcBorders>
              <w:top w:val="nil"/>
              <w:left w:val="single" w:sz="4" w:space="0" w:color="auto"/>
              <w:bottom w:val="single" w:sz="4" w:space="0" w:color="auto"/>
              <w:right w:val="single" w:sz="4" w:space="0" w:color="auto"/>
            </w:tcBorders>
            <w:shd w:val="clear" w:color="000000" w:fill="F8CBAD"/>
            <w:vAlign w:val="center"/>
            <w:hideMark/>
          </w:tcPr>
          <w:p w14:paraId="46638DD7" w14:textId="77777777" w:rsidR="00CA4897" w:rsidRPr="00CA4897" w:rsidRDefault="00CA4897" w:rsidP="00CA4897">
            <w:pPr>
              <w:jc w:val="center"/>
              <w:rPr>
                <w:rFonts w:ascii="Arial Narrow" w:eastAsia="Times New Roman" w:hAnsi="Arial Narrow" w:cs="Arial"/>
                <w:b/>
                <w:bCs/>
                <w:sz w:val="20"/>
                <w:szCs w:val="20"/>
              </w:rPr>
            </w:pPr>
            <w:r w:rsidRPr="00CA4897">
              <w:rPr>
                <w:rFonts w:ascii="Arial Narrow" w:eastAsia="Times New Roman" w:hAnsi="Arial Narrow" w:cs="Arial"/>
                <w:b/>
                <w:bCs/>
                <w:sz w:val="20"/>
                <w:szCs w:val="20"/>
              </w:rPr>
              <w:t>2.0</w:t>
            </w:r>
          </w:p>
        </w:tc>
        <w:tc>
          <w:tcPr>
            <w:tcW w:w="4671" w:type="pct"/>
            <w:gridSpan w:val="5"/>
            <w:tcBorders>
              <w:top w:val="single" w:sz="4" w:space="0" w:color="auto"/>
              <w:left w:val="nil"/>
              <w:bottom w:val="single" w:sz="4" w:space="0" w:color="auto"/>
              <w:right w:val="single" w:sz="4" w:space="0" w:color="000000"/>
            </w:tcBorders>
            <w:shd w:val="clear" w:color="000000" w:fill="F8CBAD"/>
            <w:vAlign w:val="center"/>
            <w:hideMark/>
          </w:tcPr>
          <w:p w14:paraId="74455355" w14:textId="77777777" w:rsidR="00CA4897" w:rsidRPr="00CA4897" w:rsidRDefault="00CA4897" w:rsidP="00CA4897">
            <w:pPr>
              <w:rPr>
                <w:rFonts w:ascii="Arial Narrow" w:eastAsia="Times New Roman" w:hAnsi="Arial Narrow" w:cs="Arial"/>
                <w:b/>
                <w:bCs/>
                <w:sz w:val="20"/>
                <w:szCs w:val="20"/>
              </w:rPr>
            </w:pPr>
            <w:r w:rsidRPr="00CA4897">
              <w:rPr>
                <w:rFonts w:ascii="Arial Narrow" w:eastAsia="Times New Roman" w:hAnsi="Arial Narrow" w:cs="Arial"/>
                <w:b/>
                <w:bCs/>
                <w:sz w:val="20"/>
                <w:szCs w:val="20"/>
              </w:rPr>
              <w:t>DESLOCAMENTO DE EQUIPE</w:t>
            </w:r>
          </w:p>
        </w:tc>
      </w:tr>
      <w:tr w:rsidR="00CA4897" w:rsidRPr="00CA4897" w14:paraId="7FCE0027" w14:textId="77777777" w:rsidTr="00CA4897">
        <w:trPr>
          <w:trHeight w:val="510"/>
        </w:trPr>
        <w:tc>
          <w:tcPr>
            <w:tcW w:w="329" w:type="pct"/>
            <w:tcBorders>
              <w:top w:val="nil"/>
              <w:left w:val="single" w:sz="4" w:space="0" w:color="auto"/>
              <w:bottom w:val="single" w:sz="4" w:space="0" w:color="auto"/>
              <w:right w:val="single" w:sz="4" w:space="0" w:color="auto"/>
            </w:tcBorders>
            <w:shd w:val="clear" w:color="auto" w:fill="auto"/>
            <w:vAlign w:val="center"/>
            <w:hideMark/>
          </w:tcPr>
          <w:p w14:paraId="2BED62CA"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2.1</w:t>
            </w:r>
          </w:p>
        </w:tc>
        <w:tc>
          <w:tcPr>
            <w:tcW w:w="2765" w:type="pct"/>
            <w:tcBorders>
              <w:top w:val="nil"/>
              <w:left w:val="nil"/>
              <w:bottom w:val="single" w:sz="4" w:space="0" w:color="auto"/>
              <w:right w:val="single" w:sz="4" w:space="0" w:color="auto"/>
            </w:tcBorders>
            <w:shd w:val="clear" w:color="auto" w:fill="auto"/>
            <w:vAlign w:val="center"/>
            <w:hideMark/>
          </w:tcPr>
          <w:p w14:paraId="4CF398C7" w14:textId="77777777" w:rsidR="00CA4897" w:rsidRPr="00CA4897" w:rsidRDefault="00CA4897" w:rsidP="00CA4897">
            <w:pPr>
              <w:rPr>
                <w:rFonts w:ascii="Arial Narrow" w:eastAsia="Times New Roman" w:hAnsi="Arial Narrow" w:cs="Arial"/>
                <w:sz w:val="20"/>
                <w:szCs w:val="20"/>
              </w:rPr>
            </w:pPr>
            <w:r w:rsidRPr="00CA4897">
              <w:rPr>
                <w:rFonts w:ascii="Arial Narrow" w:eastAsia="Times New Roman" w:hAnsi="Arial Narrow" w:cs="Arial"/>
                <w:sz w:val="20"/>
                <w:szCs w:val="20"/>
              </w:rPr>
              <w:t>DESLOCAMENTO DE EQUIPE POR KM PECORRIDO</w:t>
            </w:r>
          </w:p>
        </w:tc>
        <w:tc>
          <w:tcPr>
            <w:tcW w:w="343" w:type="pct"/>
            <w:tcBorders>
              <w:top w:val="nil"/>
              <w:left w:val="nil"/>
              <w:bottom w:val="single" w:sz="4" w:space="0" w:color="auto"/>
              <w:right w:val="single" w:sz="4" w:space="0" w:color="auto"/>
            </w:tcBorders>
            <w:shd w:val="clear" w:color="auto" w:fill="auto"/>
            <w:vAlign w:val="center"/>
            <w:hideMark/>
          </w:tcPr>
          <w:p w14:paraId="3838E961" w14:textId="77777777" w:rsidR="00CA4897" w:rsidRPr="00CA4897" w:rsidRDefault="00CA4897" w:rsidP="00CA4897">
            <w:pPr>
              <w:jc w:val="center"/>
              <w:rPr>
                <w:rFonts w:ascii="Arial Narrow" w:eastAsia="Times New Roman" w:hAnsi="Arial Narrow" w:cs="Arial"/>
                <w:sz w:val="20"/>
                <w:szCs w:val="20"/>
              </w:rPr>
            </w:pPr>
            <w:r w:rsidRPr="00CA4897">
              <w:rPr>
                <w:rFonts w:ascii="Arial Narrow" w:eastAsia="Times New Roman" w:hAnsi="Arial Narrow" w:cs="Arial"/>
                <w:sz w:val="20"/>
                <w:szCs w:val="20"/>
              </w:rPr>
              <w:t>KM</w:t>
            </w:r>
          </w:p>
        </w:tc>
        <w:tc>
          <w:tcPr>
            <w:tcW w:w="455" w:type="pct"/>
            <w:tcBorders>
              <w:top w:val="nil"/>
              <w:left w:val="nil"/>
              <w:bottom w:val="single" w:sz="4" w:space="0" w:color="auto"/>
              <w:right w:val="single" w:sz="4" w:space="0" w:color="auto"/>
            </w:tcBorders>
            <w:shd w:val="clear" w:color="auto" w:fill="auto"/>
            <w:vAlign w:val="center"/>
            <w:hideMark/>
          </w:tcPr>
          <w:p w14:paraId="7A5DF4F8" w14:textId="77777777" w:rsidR="00CA4897" w:rsidRPr="00CA4897" w:rsidRDefault="00CA4897" w:rsidP="00CA4897">
            <w:pPr>
              <w:jc w:val="right"/>
              <w:rPr>
                <w:rFonts w:ascii="Arial Narrow" w:eastAsia="Times New Roman" w:hAnsi="Arial Narrow" w:cs="Arial"/>
                <w:sz w:val="20"/>
                <w:szCs w:val="20"/>
              </w:rPr>
            </w:pPr>
            <w:r w:rsidRPr="00CA4897">
              <w:rPr>
                <w:rFonts w:ascii="Arial Narrow" w:eastAsia="Times New Roman" w:hAnsi="Arial Narrow" w:cs="Arial"/>
                <w:sz w:val="20"/>
                <w:szCs w:val="20"/>
              </w:rPr>
              <w:t>4.832,00</w:t>
            </w:r>
          </w:p>
        </w:tc>
        <w:tc>
          <w:tcPr>
            <w:tcW w:w="524" w:type="pct"/>
            <w:tcBorders>
              <w:top w:val="nil"/>
              <w:left w:val="nil"/>
              <w:bottom w:val="single" w:sz="4" w:space="0" w:color="auto"/>
              <w:right w:val="single" w:sz="4" w:space="0" w:color="auto"/>
            </w:tcBorders>
            <w:shd w:val="clear" w:color="auto" w:fill="auto"/>
            <w:vAlign w:val="center"/>
            <w:hideMark/>
          </w:tcPr>
          <w:p w14:paraId="018BB9EB" w14:textId="77777777" w:rsidR="00CA4897" w:rsidRPr="00CA4897" w:rsidRDefault="00CA4897" w:rsidP="00CA4897">
            <w:pPr>
              <w:jc w:val="right"/>
              <w:rPr>
                <w:rFonts w:ascii="Arial Narrow" w:eastAsia="Times New Roman" w:hAnsi="Arial Narrow" w:cs="Arial"/>
                <w:sz w:val="20"/>
                <w:szCs w:val="20"/>
              </w:rPr>
            </w:pPr>
            <w:r w:rsidRPr="00CA4897">
              <w:rPr>
                <w:rFonts w:ascii="Arial Narrow" w:eastAsia="Times New Roman" w:hAnsi="Arial Narrow" w:cs="Arial"/>
                <w:sz w:val="20"/>
                <w:szCs w:val="20"/>
              </w:rPr>
              <w:t> </w:t>
            </w:r>
          </w:p>
        </w:tc>
        <w:tc>
          <w:tcPr>
            <w:tcW w:w="583" w:type="pct"/>
            <w:tcBorders>
              <w:top w:val="nil"/>
              <w:left w:val="nil"/>
              <w:bottom w:val="single" w:sz="4" w:space="0" w:color="auto"/>
              <w:right w:val="single" w:sz="4" w:space="0" w:color="auto"/>
            </w:tcBorders>
            <w:shd w:val="clear" w:color="auto" w:fill="auto"/>
            <w:noWrap/>
            <w:vAlign w:val="center"/>
            <w:hideMark/>
          </w:tcPr>
          <w:p w14:paraId="68682E88" w14:textId="77777777" w:rsidR="00CA4897" w:rsidRPr="00CA4897" w:rsidRDefault="00CA4897" w:rsidP="00CA4897">
            <w:pPr>
              <w:jc w:val="right"/>
              <w:rPr>
                <w:rFonts w:ascii="Arial Narrow" w:eastAsia="Times New Roman" w:hAnsi="Arial Narrow" w:cs="Arial"/>
                <w:b/>
                <w:bCs/>
                <w:sz w:val="20"/>
                <w:szCs w:val="20"/>
              </w:rPr>
            </w:pPr>
            <w:r w:rsidRPr="00CA4897">
              <w:rPr>
                <w:rFonts w:ascii="Arial Narrow" w:eastAsia="Times New Roman" w:hAnsi="Arial Narrow" w:cs="Arial"/>
                <w:b/>
                <w:bCs/>
                <w:sz w:val="20"/>
                <w:szCs w:val="20"/>
              </w:rPr>
              <w:t> </w:t>
            </w:r>
          </w:p>
        </w:tc>
      </w:tr>
      <w:tr w:rsidR="00CA4897" w:rsidRPr="00CA4897" w14:paraId="7D068B31" w14:textId="77777777" w:rsidTr="00CA4897">
        <w:trPr>
          <w:trHeight w:val="516"/>
        </w:trPr>
        <w:tc>
          <w:tcPr>
            <w:tcW w:w="4417"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CE8E14A" w14:textId="0431B182" w:rsidR="00CA4897" w:rsidRPr="00CA4897" w:rsidRDefault="00CA4897" w:rsidP="00CA4897">
            <w:pPr>
              <w:jc w:val="right"/>
              <w:rPr>
                <w:rFonts w:ascii="Arial Narrow" w:eastAsia="Times New Roman" w:hAnsi="Arial Narrow" w:cs="Arial"/>
                <w:b/>
                <w:bCs/>
              </w:rPr>
            </w:pPr>
            <w:r w:rsidRPr="00CA4897">
              <w:rPr>
                <w:rFonts w:ascii="Arial Narrow" w:eastAsia="Times New Roman" w:hAnsi="Arial Narrow" w:cs="Arial"/>
                <w:b/>
                <w:bCs/>
              </w:rPr>
              <w:t xml:space="preserve">Valor total registrado R$  </w:t>
            </w:r>
          </w:p>
        </w:tc>
        <w:tc>
          <w:tcPr>
            <w:tcW w:w="583" w:type="pct"/>
            <w:tcBorders>
              <w:top w:val="nil"/>
              <w:left w:val="nil"/>
              <w:bottom w:val="single" w:sz="4" w:space="0" w:color="auto"/>
              <w:right w:val="single" w:sz="4" w:space="0" w:color="auto"/>
            </w:tcBorders>
            <w:shd w:val="clear" w:color="auto" w:fill="auto"/>
            <w:noWrap/>
            <w:vAlign w:val="center"/>
            <w:hideMark/>
          </w:tcPr>
          <w:p w14:paraId="2D1796F2" w14:textId="77777777" w:rsidR="00CA4897" w:rsidRPr="00CA4897" w:rsidRDefault="00CA4897" w:rsidP="00CA4897">
            <w:pPr>
              <w:jc w:val="right"/>
              <w:rPr>
                <w:rFonts w:ascii="Arial" w:eastAsia="Times New Roman" w:hAnsi="Arial" w:cs="Arial"/>
                <w:sz w:val="20"/>
                <w:szCs w:val="20"/>
              </w:rPr>
            </w:pPr>
            <w:r w:rsidRPr="00CA4897">
              <w:rPr>
                <w:rFonts w:ascii="Arial" w:eastAsia="Times New Roman" w:hAnsi="Arial" w:cs="Arial"/>
                <w:sz w:val="20"/>
                <w:szCs w:val="20"/>
              </w:rPr>
              <w:t> </w:t>
            </w:r>
          </w:p>
        </w:tc>
      </w:tr>
    </w:tbl>
    <w:p w14:paraId="0000002E" w14:textId="5A939139" w:rsidR="009D4061" w:rsidRDefault="00CA4897">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color w:val="000000"/>
          <w:sz w:val="20"/>
          <w:szCs w:val="20"/>
        </w:rPr>
      </w:pPr>
      <w:sdt>
        <w:sdtPr>
          <w:tag w:val="goog_rdk_2"/>
          <w:id w:val="-1829442416"/>
          <w:showingPlcHdr/>
        </w:sdtPr>
        <w:sdtContent>
          <w:r w:rsidR="0029121C">
            <w:t xml:space="preserve">     </w:t>
          </w:r>
        </w:sdtContent>
      </w:sdt>
      <w:r w:rsidR="00175E10">
        <w:rPr>
          <w:rFonts w:ascii="Arial" w:eastAsia="Arial" w:hAnsi="Arial" w:cs="Arial"/>
          <w:color w:val="000000"/>
          <w:sz w:val="20"/>
          <w:szCs w:val="20"/>
        </w:rPr>
        <w:t>A listagem do cadastro de reserva referente ao presente registro de preços consta como anexo a esta Ata.</w:t>
      </w:r>
    </w:p>
    <w:p w14:paraId="0000002F" w14:textId="77777777" w:rsidR="009D4061" w:rsidRDefault="00CA4897">
      <w:pPr>
        <w:keepNext/>
        <w:keepLines/>
        <w:numPr>
          <w:ilvl w:val="0"/>
          <w:numId w:val="1"/>
        </w:numPr>
        <w:pBdr>
          <w:top w:val="nil"/>
          <w:left w:val="nil"/>
          <w:bottom w:val="nil"/>
          <w:right w:val="nil"/>
          <w:between w:val="nil"/>
        </w:pBdr>
        <w:tabs>
          <w:tab w:val="left" w:pos="567"/>
        </w:tabs>
        <w:spacing w:before="120" w:after="120" w:line="276" w:lineRule="auto"/>
        <w:jc w:val="both"/>
      </w:pPr>
      <w:sdt>
        <w:sdtPr>
          <w:tag w:val="goog_rdk_3"/>
          <w:id w:val="-840470904"/>
        </w:sdtPr>
        <w:sdtContent/>
      </w:sdt>
      <w:sdt>
        <w:sdtPr>
          <w:tag w:val="goog_rdk_4"/>
          <w:id w:val="-1270460950"/>
        </w:sdtPr>
        <w:sdtContent/>
      </w:sdt>
      <w:proofErr w:type="gramStart"/>
      <w:r w:rsidR="00175E10">
        <w:rPr>
          <w:rFonts w:ascii="Arial" w:eastAsia="Arial" w:hAnsi="Arial" w:cs="Arial"/>
          <w:b/>
          <w:color w:val="000000"/>
          <w:sz w:val="20"/>
          <w:szCs w:val="20"/>
        </w:rPr>
        <w:t>ÓRGÃO(</w:t>
      </w:r>
      <w:proofErr w:type="gramEnd"/>
      <w:r w:rsidR="00175E10">
        <w:rPr>
          <w:rFonts w:ascii="Arial" w:eastAsia="Arial" w:hAnsi="Arial" w:cs="Arial"/>
          <w:b/>
          <w:color w:val="000000"/>
          <w:sz w:val="20"/>
          <w:szCs w:val="20"/>
        </w:rPr>
        <w:t>S) GERENCIADOR E  PARTICIPANTE(S)</w:t>
      </w:r>
    </w:p>
    <w:p w14:paraId="00000030" w14:textId="1525D5CC" w:rsidR="009D4061" w:rsidRPr="00DA1357" w:rsidRDefault="00DA1357">
      <w:pPr>
        <w:numPr>
          <w:ilvl w:val="1"/>
          <w:numId w:val="1"/>
        </w:numPr>
        <w:pBdr>
          <w:top w:val="nil"/>
          <w:left w:val="nil"/>
          <w:bottom w:val="nil"/>
          <w:right w:val="nil"/>
          <w:between w:val="nil"/>
        </w:pBdr>
        <w:spacing w:before="120" w:after="120" w:line="276" w:lineRule="auto"/>
        <w:ind w:left="0" w:firstLine="0"/>
        <w:jc w:val="both"/>
      </w:pPr>
      <w:r>
        <w:rPr>
          <w:sz w:val="20"/>
          <w:szCs w:val="20"/>
        </w:rPr>
        <w:t>O órgão gerenciador será Tribunal Regional do Trabalho da 7ª Região.</w:t>
      </w:r>
    </w:p>
    <w:p w14:paraId="7403D818" w14:textId="18F54A08" w:rsidR="00DA1357" w:rsidRDefault="00DA1357">
      <w:pPr>
        <w:numPr>
          <w:ilvl w:val="1"/>
          <w:numId w:val="1"/>
        </w:numPr>
        <w:pBdr>
          <w:top w:val="nil"/>
          <w:left w:val="nil"/>
          <w:bottom w:val="nil"/>
          <w:right w:val="nil"/>
          <w:between w:val="nil"/>
        </w:pBdr>
        <w:spacing w:before="120" w:after="120" w:line="276" w:lineRule="auto"/>
        <w:ind w:left="0" w:firstLine="0"/>
        <w:jc w:val="both"/>
      </w:pPr>
      <w:r>
        <w:rPr>
          <w:sz w:val="20"/>
          <w:szCs w:val="20"/>
        </w:rPr>
        <w:t>Além do gerenciador não há órgãos e entidades públicas participantes do registro de preços.</w:t>
      </w:r>
    </w:p>
    <w:p w14:paraId="00000042" w14:textId="6EE59C1C"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rPr>
          <w:rFonts w:ascii="Arial" w:eastAsia="Arial" w:hAnsi="Arial" w:cs="Arial"/>
          <w:b/>
          <w:i/>
          <w:color w:val="FF0000"/>
        </w:rPr>
      </w:pPr>
      <w:r>
        <w:rPr>
          <w:rFonts w:ascii="Arial" w:eastAsia="Arial" w:hAnsi="Arial" w:cs="Arial"/>
          <w:b/>
          <w:color w:val="000000"/>
          <w:sz w:val="20"/>
          <w:szCs w:val="20"/>
        </w:rPr>
        <w:t xml:space="preserve">DA ADESÃO À ATA DE REGISTRO DE PREÇOS </w:t>
      </w:r>
    </w:p>
    <w:p w14:paraId="00000052" w14:textId="586C709F" w:rsidR="009D4061" w:rsidRPr="00492A7C" w:rsidRDefault="00175E10" w:rsidP="00492A7C">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sz w:val="20"/>
          <w:szCs w:val="20"/>
        </w:rPr>
      </w:pPr>
      <w:r w:rsidRPr="00492A7C">
        <w:rPr>
          <w:rFonts w:ascii="Arial" w:eastAsia="Arial" w:hAnsi="Arial" w:cs="Arial"/>
          <w:sz w:val="20"/>
          <w:szCs w:val="20"/>
        </w:rPr>
        <w:t xml:space="preserve"> </w:t>
      </w:r>
      <w:sdt>
        <w:sdtPr>
          <w:rPr>
            <w:rFonts w:ascii="Arial" w:hAnsi="Arial" w:cs="Arial"/>
            <w:sz w:val="20"/>
            <w:szCs w:val="20"/>
          </w:rPr>
          <w:tag w:val="goog_rdk_5"/>
          <w:id w:val="-1324502358"/>
        </w:sdtPr>
        <w:sdtContent/>
      </w:sdt>
      <w:r w:rsidRPr="00492A7C">
        <w:rPr>
          <w:rFonts w:ascii="Arial" w:eastAsia="Arial" w:hAnsi="Arial" w:cs="Arial"/>
          <w:sz w:val="20"/>
          <w:szCs w:val="20"/>
        </w:rPr>
        <w:t>Não será admitida a adesão à ata de registro de preços decorrente desta licitação ou desta contratação direta, conforme justificativa apresentada nos estudos técnicos preliminares.</w:t>
      </w:r>
    </w:p>
    <w:p w14:paraId="00000053" w14:textId="77777777" w:rsidR="009D4061" w:rsidRDefault="00175E10">
      <w:pPr>
        <w:pBdr>
          <w:top w:val="nil"/>
          <w:left w:val="nil"/>
          <w:bottom w:val="nil"/>
          <w:right w:val="nil"/>
          <w:between w:val="nil"/>
        </w:pBdr>
        <w:spacing w:before="240" w:after="120" w:line="276" w:lineRule="auto"/>
        <w:jc w:val="both"/>
        <w:rPr>
          <w:rFonts w:ascii="Arial" w:eastAsia="Arial" w:hAnsi="Arial" w:cs="Arial"/>
          <w:b/>
          <w:color w:val="000000"/>
          <w:sz w:val="20"/>
          <w:szCs w:val="20"/>
        </w:rPr>
      </w:pPr>
      <w:r>
        <w:rPr>
          <w:rFonts w:ascii="Arial" w:eastAsia="Arial" w:hAnsi="Arial" w:cs="Arial"/>
          <w:b/>
          <w:color w:val="000000"/>
          <w:sz w:val="20"/>
          <w:szCs w:val="20"/>
        </w:rPr>
        <w:t>Vedação a acréscimo de quantitativos</w:t>
      </w:r>
    </w:p>
    <w:p w14:paraId="00000054"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É vedado efetuar acréscimos nos quantitativos fixados na ata de registro de preços.</w:t>
      </w:r>
    </w:p>
    <w:p w14:paraId="00000055" w14:textId="77777777" w:rsidR="009D4061" w:rsidRPr="00EC67D8"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VALIDADE, FORMALIZAÇÃO DA ATA DE REGISTRO DE PREÇOS E CADASTRO RESERVA</w:t>
      </w:r>
    </w:p>
    <w:p w14:paraId="153F2D82" w14:textId="388007A2" w:rsidR="00EC67D8" w:rsidRPr="00EC67D8" w:rsidRDefault="00EC67D8" w:rsidP="00492A7C">
      <w:pPr>
        <w:pStyle w:val="Nivel2"/>
      </w:pPr>
      <w:r w:rsidRPr="00EC67D8">
        <w:rPr>
          <w:rFonts w:eastAsia="Arial"/>
        </w:rPr>
        <w:t>A validade e o prazo de vig</w:t>
      </w:r>
      <w:r w:rsidRPr="00EC67D8">
        <w:rPr>
          <w:rFonts w:eastAsia="Arial" w:hint="cs"/>
        </w:rPr>
        <w:t>ê</w:t>
      </w:r>
      <w:r w:rsidRPr="00EC67D8">
        <w:rPr>
          <w:rFonts w:eastAsia="Arial"/>
        </w:rPr>
        <w:t>ncia da Ata de Registro de Pre</w:t>
      </w:r>
      <w:r w:rsidRPr="00EC67D8">
        <w:rPr>
          <w:rFonts w:eastAsia="Arial" w:hint="cs"/>
        </w:rPr>
        <w:t>ç</w:t>
      </w:r>
      <w:r w:rsidRPr="00EC67D8">
        <w:rPr>
          <w:rFonts w:eastAsia="Arial"/>
        </w:rPr>
        <w:t>os ser</w:t>
      </w:r>
      <w:r w:rsidRPr="00EC67D8">
        <w:rPr>
          <w:rFonts w:eastAsia="Arial" w:hint="cs"/>
        </w:rPr>
        <w:t>á</w:t>
      </w:r>
      <w:r w:rsidRPr="00EC67D8">
        <w:rPr>
          <w:rFonts w:eastAsia="Arial"/>
        </w:rPr>
        <w:t xml:space="preserve"> de 1 (um) ano, contado a partir da data de sua assinatura, podendo ser prorrogado por igual per</w:t>
      </w:r>
      <w:r w:rsidRPr="00EC67D8">
        <w:rPr>
          <w:rFonts w:eastAsia="Arial" w:hint="cs"/>
        </w:rPr>
        <w:t>í</w:t>
      </w:r>
      <w:r w:rsidRPr="00EC67D8">
        <w:rPr>
          <w:rFonts w:eastAsia="Arial"/>
        </w:rPr>
        <w:t>odo, nos termos do art. 84 da Lei n</w:t>
      </w:r>
      <w:r w:rsidRPr="00EC67D8">
        <w:rPr>
          <w:rFonts w:eastAsia="Arial" w:hint="cs"/>
        </w:rPr>
        <w:t>º</w:t>
      </w:r>
      <w:r w:rsidRPr="00EC67D8">
        <w:rPr>
          <w:rFonts w:eastAsia="Arial"/>
        </w:rPr>
        <w:t xml:space="preserve"> 14.133/2021, mediante a anu</w:t>
      </w:r>
      <w:r w:rsidRPr="00EC67D8">
        <w:rPr>
          <w:rFonts w:eastAsia="Arial" w:hint="cs"/>
        </w:rPr>
        <w:t>ê</w:t>
      </w:r>
      <w:r w:rsidRPr="00EC67D8">
        <w:rPr>
          <w:rFonts w:eastAsia="Arial"/>
        </w:rPr>
        <w:t>ncia do fornecedor, desde que comprovado o pre</w:t>
      </w:r>
      <w:r w:rsidRPr="00EC67D8">
        <w:rPr>
          <w:rFonts w:eastAsia="Arial" w:hint="cs"/>
        </w:rPr>
        <w:t>ç</w:t>
      </w:r>
      <w:r w:rsidRPr="00EC67D8">
        <w:rPr>
          <w:rFonts w:eastAsia="Arial"/>
        </w:rPr>
        <w:t>o vantajoso.</w:t>
      </w:r>
    </w:p>
    <w:p w14:paraId="22B1966A" w14:textId="32B1E240" w:rsidR="00EC67D8" w:rsidRPr="00EC67D8" w:rsidRDefault="00EC67D8" w:rsidP="00EC67D8">
      <w:pPr>
        <w:pStyle w:val="Nvel3-R"/>
        <w:rPr>
          <w:color w:val="auto"/>
        </w:rPr>
      </w:pPr>
      <w:r w:rsidRPr="00EC67D8">
        <w:rPr>
          <w:rFonts w:eastAsia="Arial"/>
          <w:color w:val="auto"/>
        </w:rPr>
        <w:t>Em caso de prorroga</w:t>
      </w:r>
      <w:r w:rsidRPr="00EC67D8">
        <w:rPr>
          <w:rFonts w:eastAsia="Arial" w:hint="cs"/>
          <w:color w:val="auto"/>
        </w:rPr>
        <w:t>çã</w:t>
      </w:r>
      <w:r w:rsidRPr="00EC67D8">
        <w:rPr>
          <w:rFonts w:eastAsia="Arial"/>
          <w:color w:val="auto"/>
        </w:rPr>
        <w:t>o, poder</w:t>
      </w:r>
      <w:r w:rsidRPr="00EC67D8">
        <w:rPr>
          <w:rFonts w:eastAsia="Arial" w:hint="cs"/>
          <w:color w:val="auto"/>
        </w:rPr>
        <w:t>á</w:t>
      </w:r>
      <w:r w:rsidRPr="00EC67D8">
        <w:rPr>
          <w:rFonts w:eastAsia="Arial"/>
          <w:color w:val="auto"/>
        </w:rPr>
        <w:t xml:space="preserve"> haver renova</w:t>
      </w:r>
      <w:r w:rsidRPr="00EC67D8">
        <w:rPr>
          <w:rFonts w:eastAsia="Arial" w:hint="cs"/>
          <w:color w:val="auto"/>
        </w:rPr>
        <w:t>çã</w:t>
      </w:r>
      <w:r w:rsidRPr="00EC67D8">
        <w:rPr>
          <w:rFonts w:eastAsia="Arial"/>
          <w:color w:val="auto"/>
        </w:rPr>
        <w:t>o de quantitativo a ser definido.</w:t>
      </w:r>
    </w:p>
    <w:p w14:paraId="00000057"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0000058"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formalização do contrato ou do instrumento substituto deverá haver a indicação da disponibilidade dos créditos orçamentários respectivos.</w:t>
      </w:r>
    </w:p>
    <w:p w14:paraId="00000059"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0000005A" w14:textId="258FA735"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O instrumento contratual de que trata o item 5.2. </w:t>
      </w:r>
      <w:r w:rsidR="00CA2157">
        <w:rPr>
          <w:rFonts w:ascii="Arial" w:eastAsia="Arial" w:hAnsi="Arial" w:cs="Arial"/>
          <w:color w:val="000000"/>
          <w:sz w:val="20"/>
          <w:szCs w:val="20"/>
        </w:rPr>
        <w:t>Deverá</w:t>
      </w:r>
      <w:r>
        <w:rPr>
          <w:rFonts w:ascii="Arial" w:eastAsia="Arial" w:hAnsi="Arial" w:cs="Arial"/>
          <w:color w:val="000000"/>
          <w:sz w:val="20"/>
          <w:szCs w:val="20"/>
        </w:rPr>
        <w:t xml:space="preserve"> ser assinado no prazo de validade da ata de registro de preços.</w:t>
      </w:r>
      <w:bookmarkStart w:id="0" w:name="_GoBack"/>
      <w:bookmarkEnd w:id="0"/>
    </w:p>
    <w:p w14:paraId="0000005B"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Os contratos decorrentes do sistema de registro de preços poderão ser alterados, observado o art. 124 da Lei nº 14.133, de 2021.</w:t>
      </w:r>
    </w:p>
    <w:p w14:paraId="0000005C"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Após a homologação da licitação ou da contratação direta, deverão ser observadas as seguintes condições para formalização da ata de registro de preços:</w:t>
      </w:r>
    </w:p>
    <w:p w14:paraId="0000005D" w14:textId="19343577" w:rsidR="009D4061" w:rsidRDefault="00175E10">
      <w:pPr>
        <w:numPr>
          <w:ilvl w:val="2"/>
          <w:numId w:val="1"/>
        </w:numPr>
        <w:pBdr>
          <w:top w:val="nil"/>
          <w:left w:val="nil"/>
          <w:bottom w:val="nil"/>
          <w:right w:val="nil"/>
          <w:between w:val="nil"/>
        </w:pBdr>
        <w:spacing w:before="120" w:after="120" w:line="276" w:lineRule="auto"/>
        <w:ind w:left="0" w:firstLine="0"/>
        <w:jc w:val="both"/>
        <w:rPr>
          <w:rFonts w:ascii="Arial" w:eastAsia="Arial" w:hAnsi="Arial" w:cs="Arial"/>
          <w:color w:val="000000"/>
        </w:rPr>
      </w:pPr>
      <w:r>
        <w:rPr>
          <w:rFonts w:ascii="Arial" w:eastAsia="Arial" w:hAnsi="Arial" w:cs="Arial"/>
          <w:color w:val="000000"/>
          <w:sz w:val="20"/>
          <w:szCs w:val="20"/>
        </w:rPr>
        <w:t>Serão registrados na ata os preços e os quantitativos do adjudicatário, devendo ser observada a pos</w:t>
      </w:r>
      <w:r w:rsidRPr="00492A7C">
        <w:rPr>
          <w:rFonts w:ascii="Arial" w:eastAsia="Arial" w:hAnsi="Arial" w:cs="Arial"/>
          <w:sz w:val="20"/>
          <w:szCs w:val="20"/>
        </w:rPr>
        <w:t xml:space="preserve">sibilidade de o licitante oferecer ou não proposta em quantitativo inferior ao máximo previsto no edital e se obrigar nos limites dela; </w:t>
      </w:r>
    </w:p>
    <w:p w14:paraId="0000005E"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Será incluído na ata, na forma de anexo, o registro dos licitantes ou dos fornecedores que:</w:t>
      </w:r>
    </w:p>
    <w:p w14:paraId="0000005F" w14:textId="77777777" w:rsidR="009D4061" w:rsidRDefault="00175E10">
      <w:pPr>
        <w:numPr>
          <w:ilvl w:val="3"/>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Aceitarem cotar os bens, as obras ou os serviços com preços iguais aos do adjudicatário, observada a classificação da licitação; e </w:t>
      </w:r>
    </w:p>
    <w:p w14:paraId="00000060" w14:textId="77777777" w:rsidR="009D4061" w:rsidRDefault="00175E10">
      <w:pPr>
        <w:numPr>
          <w:ilvl w:val="3"/>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Mantiverem sua proposta original. </w:t>
      </w:r>
      <w:bookmarkStart w:id="1" w:name="bookmark=id.gjdgxs" w:colFirst="0" w:colLast="0"/>
      <w:bookmarkEnd w:id="1"/>
    </w:p>
    <w:p w14:paraId="00000061"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Será respeitada, nas contratações, a ordem de classificação dos licitantes ou dos fornecedores registrados na ata.</w:t>
      </w:r>
    </w:p>
    <w:p w14:paraId="00000062"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lastRenderedPageBreak/>
        <w:t>O registro a que se refere o item 5.4.2</w:t>
      </w:r>
      <w:r>
        <w:rPr>
          <w:rFonts w:ascii="Arial" w:eastAsia="Arial" w:hAnsi="Arial" w:cs="Arial"/>
          <w:b/>
          <w:color w:val="000000"/>
          <w:sz w:val="20"/>
          <w:szCs w:val="20"/>
        </w:rPr>
        <w:t xml:space="preserve"> </w:t>
      </w:r>
      <w:r>
        <w:rPr>
          <w:rFonts w:ascii="Arial" w:eastAsia="Arial" w:hAnsi="Arial" w:cs="Arial"/>
          <w:color w:val="000000"/>
          <w:sz w:val="20"/>
          <w:szCs w:val="20"/>
        </w:rPr>
        <w:t>tem por objetivo a formação de cadastro de reserva para o caso de impossibilidade de atendimento pelo signatário da ata.</w:t>
      </w:r>
    </w:p>
    <w:p w14:paraId="00000063"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Para fins da ordem de classificação, os licitantes ou fornecedores que aceitarem reduzir suas propostas para o preço do adjudicatário antecederão aqueles que mantiverem sua proposta original.</w:t>
      </w:r>
    </w:p>
    <w:p w14:paraId="00000064"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 habilitação dos licitantes que comporão o cadastro de reserva a que se refere o item 5.4.2.2 somente será efetuada quando houver necessidade de contratação dos licitantes remanescentes, nas seguintes hipóteses:</w:t>
      </w:r>
      <w:bookmarkStart w:id="2" w:name="bookmark=id.30j0zll" w:colFirst="0" w:colLast="0"/>
      <w:bookmarkEnd w:id="2"/>
    </w:p>
    <w:p w14:paraId="00000065" w14:textId="75177B8E"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Quando o licitante vencedor não assinar a ata de registro de preços, no prazo e nas condições </w:t>
      </w:r>
      <w:r w:rsidRPr="00492A7C">
        <w:rPr>
          <w:rFonts w:ascii="Arial" w:eastAsia="Arial" w:hAnsi="Arial" w:cs="Arial"/>
          <w:sz w:val="20"/>
          <w:szCs w:val="20"/>
        </w:rPr>
        <w:t>estabelecidos no edital;</w:t>
      </w:r>
      <w:r>
        <w:rPr>
          <w:rFonts w:ascii="Arial" w:eastAsia="Arial" w:hAnsi="Arial" w:cs="Arial"/>
          <w:color w:val="FF0000"/>
          <w:sz w:val="20"/>
          <w:szCs w:val="20"/>
        </w:rPr>
        <w:t xml:space="preserve"> </w:t>
      </w:r>
      <w:r>
        <w:rPr>
          <w:rFonts w:ascii="Arial" w:eastAsia="Arial" w:hAnsi="Arial" w:cs="Arial"/>
          <w:color w:val="000000"/>
          <w:sz w:val="20"/>
          <w:szCs w:val="20"/>
        </w:rPr>
        <w:t>e</w:t>
      </w:r>
    </w:p>
    <w:p w14:paraId="00000066"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Quando houver o cancelamento do registro do licitante ou do registro de preços nas hipóteses previstas no item 9.</w:t>
      </w:r>
    </w:p>
    <w:p w14:paraId="00000067"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preço registrado com indicação dos licitantes e fornecedores será divulgado no PNCP e ficará disponibilizado durante a vigência da ata de registro de preços.</w:t>
      </w:r>
    </w:p>
    <w:p w14:paraId="00000068"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00000069"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0000006A"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 ata de registro de preços será assinada por meio de assinatura digital e disponibilizada no Sistema de Registro de Preços.</w:t>
      </w:r>
    </w:p>
    <w:p w14:paraId="0000006B" w14:textId="77777777" w:rsidR="009D4061" w:rsidRDefault="00175E10">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Quando o convocado não assinar a ata de registro de preços no prazo e nas condições estabelecidos no edital ou no aviso de contratação, e observado o disposto no item 5.7, e subitens, fica facultado à Administração convocar os licitantes remanescentes do cadastro de reserva, na ordem de classificação, para fazê-lo em igual prazo e nas condições propostas pelo primeiro classificado.</w:t>
      </w:r>
      <w:bookmarkStart w:id="3" w:name="bookmark=id.1fob9te" w:colFirst="0" w:colLast="0"/>
      <w:bookmarkEnd w:id="3"/>
      <w:r>
        <w:rPr>
          <w:rFonts w:ascii="Arial" w:eastAsia="Arial" w:hAnsi="Arial" w:cs="Arial"/>
          <w:color w:val="000000"/>
          <w:sz w:val="20"/>
          <w:szCs w:val="20"/>
        </w:rPr>
        <w:t xml:space="preserve"> </w:t>
      </w:r>
    </w:p>
    <w:p w14:paraId="0000006C" w14:textId="20EBDF5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Na hipótese de nenhum dos licitantes que trata o item 5.4.2.1, aceitar a contratação nos termos </w:t>
      </w:r>
      <w:r w:rsidRPr="00492A7C">
        <w:rPr>
          <w:rFonts w:ascii="Arial" w:eastAsia="Arial" w:hAnsi="Arial" w:cs="Arial"/>
          <w:sz w:val="20"/>
          <w:szCs w:val="20"/>
        </w:rPr>
        <w:t>do item anterior, a Administração, observados o valor estimado e sua eventual atualização nos termos do edital</w:t>
      </w:r>
      <w:r>
        <w:rPr>
          <w:rFonts w:ascii="Arial" w:eastAsia="Arial" w:hAnsi="Arial" w:cs="Arial"/>
          <w:color w:val="000000"/>
          <w:sz w:val="20"/>
          <w:szCs w:val="20"/>
        </w:rPr>
        <w:t>, poderá:</w:t>
      </w:r>
    </w:p>
    <w:p w14:paraId="0000006D"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Convocar para negociação os demais licitantes ou fornecedores remanescentes cujos preços foram registrados sem redução, observada a ordem de classificação, com vistas à obtenção de preço melhor, mesmo que acima do preço do adjudicatário; ou</w:t>
      </w:r>
    </w:p>
    <w:p w14:paraId="0000006E"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Adjudicar e firmar o contrato nas condições ofertadas pelos licitantes ou fornecedores remanescentes, atendida a ordem classificatória, quando frustrada a negociação de melhor condição.</w:t>
      </w:r>
    </w:p>
    <w:p w14:paraId="0000006F"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0000070"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ind w:left="0" w:firstLine="0"/>
        <w:jc w:val="both"/>
      </w:pPr>
      <w:r>
        <w:rPr>
          <w:rFonts w:ascii="Arial" w:eastAsia="Arial" w:hAnsi="Arial" w:cs="Arial"/>
          <w:b/>
          <w:color w:val="000000"/>
          <w:sz w:val="20"/>
          <w:szCs w:val="20"/>
        </w:rPr>
        <w:t>ALTERAÇÃO OU ATUALIZAÇÃO DOS PREÇOS REGISTRADOS</w:t>
      </w:r>
    </w:p>
    <w:p w14:paraId="00000071"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Os preços registrados poderão ser alterados ou atualizados em decorrência de eventual redução dos preços praticados no mercado ou de fato que eleve o custo dos bens, das obras ou dos serviços registrados, nas seguintes situações:</w:t>
      </w:r>
    </w:p>
    <w:p w14:paraId="00000072"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E</w:t>
      </w:r>
      <w:sdt>
        <w:sdtPr>
          <w:tag w:val="goog_rdk_7"/>
          <w:id w:val="199297872"/>
        </w:sdtPr>
        <w:sdtContent/>
      </w:sdt>
      <w:r>
        <w:rPr>
          <w:rFonts w:ascii="Arial" w:eastAsia="Arial" w:hAnsi="Arial" w:cs="Arial"/>
          <w:color w:val="000000"/>
          <w:sz w:val="20"/>
          <w:szCs w:val="20"/>
        </w:rPr>
        <w:t xml:space="preserve">m caso de força maior, caso fortuito ou fato do príncipe ou em decorrência de fatos imprevisíveis ou previsíveis de consequências incalculáveis, que inviabilizem a execução da ata tal como pactuada, nos termos da </w:t>
      </w:r>
      <w:r>
        <w:rPr>
          <w:rFonts w:ascii="Arial" w:eastAsia="Arial" w:hAnsi="Arial" w:cs="Arial"/>
          <w:color w:val="0000EF"/>
          <w:sz w:val="20"/>
          <w:szCs w:val="20"/>
        </w:rPr>
        <w:t>alínea “d” do inciso II do caput do art. 124 da Lei nº 14.133, de 2021;</w:t>
      </w:r>
    </w:p>
    <w:p w14:paraId="00000073"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lastRenderedPageBreak/>
        <w:t xml:space="preserve">Em caso de criação, alteração ou extinção de quaisquer tributos ou encargos legais ou a superveniência de disposições legais, com comprovada repercussão sobre os preços registrados; </w:t>
      </w:r>
    </w:p>
    <w:p w14:paraId="00000074"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previsão no edital ou no aviso de contratação direta de cláusula de reajustamento ou repactuação sobre os preços registrados, nos termos da Lei nº 14.133, de 2021.</w:t>
      </w:r>
    </w:p>
    <w:p w14:paraId="00000075" w14:textId="77777777" w:rsidR="009D4061" w:rsidRDefault="00175E10">
      <w:pPr>
        <w:numPr>
          <w:ilvl w:val="3"/>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No caso do reajustamento, deverá ser respeitada a contagem da anualidade e o índice previstos para a contratação;  </w:t>
      </w:r>
    </w:p>
    <w:p w14:paraId="00000076" w14:textId="77777777" w:rsidR="009D4061" w:rsidRDefault="00175E10">
      <w:pPr>
        <w:numPr>
          <w:ilvl w:val="3"/>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No caso da repactuação, poderá ser a pedido do interessado, conforme critérios definidos para a contratação.</w:t>
      </w:r>
    </w:p>
    <w:p w14:paraId="00000077"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NEGOCIAÇÃO DE PREÇOS REGISTRADOS</w:t>
      </w:r>
    </w:p>
    <w:p w14:paraId="00000078"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o preço registrado tornar-se superior ao preço praticado no mercado por motivo superveniente, o órgão ou entidade gerenciadora convocará o fornecedor para negociar a redução do preço registrado.</w:t>
      </w:r>
    </w:p>
    <w:p w14:paraId="00000079"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Caso não aceite reduzir seu preço aos valores praticados pelo mercado, o fornecedor será liberado do compromisso assumido quanto ao item registrado, sem aplicação de penalidades administrativas.</w:t>
      </w:r>
    </w:p>
    <w:p w14:paraId="0000007A"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prevista no item anterior, o gerenciador convocará os fornecedores do cadastro de reserva, na ordem de classificação, para verificar se aceitam reduzir seus preços aos valores de mercado e não convocará o</w:t>
      </w:r>
      <w:sdt>
        <w:sdtPr>
          <w:tag w:val="goog_rdk_8"/>
          <w:id w:val="197821514"/>
        </w:sdtPr>
        <w:sdtContent/>
      </w:sdt>
      <w:r>
        <w:rPr>
          <w:rFonts w:ascii="Arial" w:eastAsia="Arial" w:hAnsi="Arial" w:cs="Arial"/>
          <w:color w:val="000000"/>
          <w:sz w:val="20"/>
          <w:szCs w:val="20"/>
        </w:rPr>
        <w:t xml:space="preserve">s licitantes ou fornecedores que tiveram seu registro cancelado. </w:t>
      </w:r>
    </w:p>
    <w:p w14:paraId="0000007B"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Se não obtiver êxito nas negociações, o órgão ou entidade gerenciadora procederá ao cancelamento da ata de registro de preços, adotando as medidas cabíveis para obtenção de contratação mais vantajosa.</w:t>
      </w:r>
    </w:p>
    <w:p w14:paraId="0000007C"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Calibri" w:eastAsia="Calibri" w:hAnsi="Calibri" w:cs="Calibri"/>
          <w:color w:val="000000"/>
          <w:sz w:val="20"/>
          <w:szCs w:val="20"/>
        </w:rPr>
        <w:t>Na hipótese de</w:t>
      </w:r>
      <w:r>
        <w:rPr>
          <w:rFonts w:ascii="Arial" w:eastAsia="Arial" w:hAnsi="Arial" w:cs="Arial"/>
          <w:color w:val="000000"/>
          <w:sz w:val="20"/>
          <w:szCs w:val="20"/>
        </w:rPr>
        <w:t xml:space="preserv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0000007D"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14:paraId="0000007E"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Neste caso, o fornecedor encaminhará, juntamente com o pedido de alteração, a documentação comprobatória ou </w:t>
      </w:r>
      <w:proofErr w:type="spellStart"/>
      <w:r>
        <w:rPr>
          <w:rFonts w:ascii="Arial" w:eastAsia="Arial" w:hAnsi="Arial" w:cs="Arial"/>
          <w:color w:val="000000"/>
          <w:sz w:val="20"/>
          <w:szCs w:val="20"/>
        </w:rPr>
        <w:t>a</w:t>
      </w:r>
      <w:proofErr w:type="spellEnd"/>
      <w:r>
        <w:rPr>
          <w:rFonts w:ascii="Arial" w:eastAsia="Arial" w:hAnsi="Arial" w:cs="Arial"/>
          <w:color w:val="000000"/>
          <w:sz w:val="20"/>
          <w:szCs w:val="20"/>
        </w:rPr>
        <w:t xml:space="preserve"> planilha de custos que demonstre a inviabilidade do preço registrado em relação às condições inicialmente pactuadas.</w:t>
      </w:r>
    </w:p>
    <w:p w14:paraId="0000007F"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bookmarkStart w:id="4" w:name="bookmark=id.3dy6vkm" w:colFirst="0" w:colLast="0"/>
      <w:bookmarkEnd w:id="4"/>
    </w:p>
    <w:p w14:paraId="00000080"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00000081"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Se não obtiver êxito nas negociações, o órgão ou entidade gerenciadora procederá ao cancelamento da ata de registro de preços, nos termos do item 9.4, e adotará as medidas cabíveis para a obtenção da contratação mais vantajosa.</w:t>
      </w:r>
      <w:bookmarkStart w:id="5" w:name="bookmark=id.1t3h5sf" w:colFirst="0" w:colLast="0"/>
      <w:bookmarkEnd w:id="5"/>
    </w:p>
    <w:p w14:paraId="00000082"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14:paraId="00000083"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lastRenderedPageBreak/>
        <w:t xml:space="preserve">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14:paraId="00000084" w14:textId="77777777" w:rsidR="009D4061" w:rsidRDefault="00CA4897">
      <w:pPr>
        <w:keepNext/>
        <w:keepLines/>
        <w:numPr>
          <w:ilvl w:val="0"/>
          <w:numId w:val="1"/>
        </w:numPr>
        <w:pBdr>
          <w:top w:val="nil"/>
          <w:left w:val="nil"/>
          <w:bottom w:val="nil"/>
          <w:right w:val="nil"/>
          <w:between w:val="nil"/>
        </w:pBdr>
        <w:tabs>
          <w:tab w:val="left" w:pos="567"/>
        </w:tabs>
        <w:spacing w:before="120" w:after="120" w:line="276" w:lineRule="auto"/>
        <w:ind w:left="0" w:firstLine="0"/>
        <w:jc w:val="both"/>
      </w:pPr>
      <w:sdt>
        <w:sdtPr>
          <w:tag w:val="goog_rdk_9"/>
          <w:id w:val="1319700954"/>
        </w:sdtPr>
        <w:sdtContent/>
      </w:sdt>
      <w:r w:rsidR="00175E10">
        <w:rPr>
          <w:rFonts w:ascii="Arial" w:eastAsia="Arial" w:hAnsi="Arial" w:cs="Arial"/>
          <w:b/>
          <w:color w:val="000000"/>
          <w:sz w:val="20"/>
          <w:szCs w:val="20"/>
        </w:rPr>
        <w:t>REMANEJAMENTO DAS QUANTIDADES REGISTRADAS NA ATA DE REGISTRO DE PREÇOS</w:t>
      </w:r>
    </w:p>
    <w:p w14:paraId="00000085"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As quantidades previstas para os itens com preços registrados nas atas de registro de preços poderão ser remanejadas pelo órgão ou entidade gerenciadora entre os órgãos ou as entidades participantes e não participantes do registro de preços.</w:t>
      </w:r>
    </w:p>
    <w:p w14:paraId="00000086"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O remanejamento somente poderá ser feito:</w:t>
      </w:r>
    </w:p>
    <w:p w14:paraId="00000087"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De órgão ou entidade participante para órgão ou entidade participante; ou</w:t>
      </w:r>
    </w:p>
    <w:p w14:paraId="00000088"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De órgão ou entidade participante para órgão ou entidade não participante.</w:t>
      </w:r>
    </w:p>
    <w:p w14:paraId="00000089"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órgão ou entidade gerenciadora que tiver estimado as quantidades que pretende contratar será considerado participante para efeito do remanejamento.</w:t>
      </w:r>
      <w:bookmarkStart w:id="6" w:name="bookmark=id.4d34og8" w:colFirst="0" w:colLast="0"/>
      <w:bookmarkEnd w:id="6"/>
    </w:p>
    <w:p w14:paraId="0000008A"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Na hipótese de remanejamento de órgão ou entidade participante para órgão ou entidade não participante, serão observados os limites previstos no </w:t>
      </w:r>
      <w:sdt>
        <w:sdtPr>
          <w:tag w:val="goog_rdk_10"/>
          <w:id w:val="-2064087466"/>
        </w:sdtPr>
        <w:sdtContent/>
      </w:sdt>
      <w:r>
        <w:rPr>
          <w:rFonts w:ascii="Arial" w:eastAsia="Arial" w:hAnsi="Arial" w:cs="Arial"/>
          <w:color w:val="000000"/>
          <w:sz w:val="20"/>
          <w:szCs w:val="20"/>
        </w:rPr>
        <w:t>art. 32 do Decreto nº 11.462, de 2023.</w:t>
      </w:r>
    </w:p>
    <w:p w14:paraId="0000008B"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0000008C"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0000008D"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14:paraId="0000008E"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ind w:left="0" w:firstLine="0"/>
        <w:jc w:val="both"/>
        <w:rPr>
          <w:rFonts w:ascii="Arial" w:eastAsia="Arial" w:hAnsi="Arial" w:cs="Arial"/>
          <w:b/>
          <w:color w:val="000000"/>
        </w:rPr>
      </w:pPr>
      <w:r>
        <w:rPr>
          <w:rFonts w:ascii="Arial" w:eastAsia="Arial" w:hAnsi="Arial" w:cs="Arial"/>
          <w:b/>
          <w:color w:val="000000"/>
          <w:sz w:val="20"/>
          <w:szCs w:val="20"/>
        </w:rPr>
        <w:t>CANCELAMENTO DO REGISTRO DO LICITANTE VENCEDOR E DOS PREÇOS REGISTRADOS</w:t>
      </w:r>
      <w:bookmarkStart w:id="7" w:name="bookmark=id.2s8eyo1" w:colFirst="0" w:colLast="0"/>
      <w:bookmarkEnd w:id="7"/>
    </w:p>
    <w:p w14:paraId="0000008F"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registro do fornecedor será cancelado pelo gerenciador, quando o fornecedor:</w:t>
      </w:r>
      <w:bookmarkStart w:id="8" w:name="bookmark=id.17dp8vu" w:colFirst="0" w:colLast="0"/>
      <w:bookmarkEnd w:id="8"/>
    </w:p>
    <w:p w14:paraId="00000090"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Descumprir as condições da ata de registro de preços, sem motivo justificado;</w:t>
      </w:r>
    </w:p>
    <w:p w14:paraId="00000091"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Não retirar a nota de empenho, ou instrumento equivalente, no prazo estabelecido pela Administração sem justificativa razoável;</w:t>
      </w:r>
    </w:p>
    <w:p w14:paraId="00000092"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Não aceitar manter seu preço registrado, na hipótese prevista no artigo 27, § 2º, do Decreto nº 11.462, de 2023; ou</w:t>
      </w:r>
    </w:p>
    <w:p w14:paraId="00000093"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Sofrer sanção prevista nos incisos III ou IV do caput do art. 156 da Lei nº 14.133, de 2021.</w:t>
      </w:r>
    </w:p>
    <w:p w14:paraId="00000094" w14:textId="77777777" w:rsidR="009D4061" w:rsidRDefault="00175E10">
      <w:pPr>
        <w:numPr>
          <w:ilvl w:val="3"/>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00000095"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O cancelamento de registros nas hipóteses previstas no item 9.1 será formalizado por despacho do órgão ou da entidade gerenciadora, garantidos os princípios do contraditório e da ampla defesa.</w:t>
      </w:r>
    </w:p>
    <w:p w14:paraId="00000096"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lastRenderedPageBreak/>
        <w:t>Na hipótese de cancelamento do registro do fornecedor, o órgão ou a entidade gerenciadora poderá convocar os licitantes que compõem o cadastro de reserva, observada a ordem de classificação.</w:t>
      </w:r>
    </w:p>
    <w:p w14:paraId="00000097"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cancelamento dos preços registrados poderá ser realizado pelo gerenciador, em determinada ata de registro de preços, total ou parcialmente, nas seguintes hipóteses, desde que devidamente comprovadas e justificadas:</w:t>
      </w:r>
      <w:bookmarkStart w:id="9" w:name="bookmark=id.3rdcrjn" w:colFirst="0" w:colLast="0"/>
      <w:bookmarkEnd w:id="9"/>
      <w:r>
        <w:rPr>
          <w:rFonts w:ascii="Arial" w:eastAsia="Arial" w:hAnsi="Arial" w:cs="Arial"/>
          <w:color w:val="000000"/>
          <w:sz w:val="20"/>
          <w:szCs w:val="20"/>
        </w:rPr>
        <w:t xml:space="preserve"> </w:t>
      </w:r>
    </w:p>
    <w:p w14:paraId="00000098"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Por razão de interesse público;</w:t>
      </w:r>
    </w:p>
    <w:p w14:paraId="00000099"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 pedido do fornecedor, decorrente de caso fortuito ou força maior; ou</w:t>
      </w:r>
    </w:p>
    <w:p w14:paraId="0000009A"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Se não houver êxito nas negociações, nas hipóteses em que o preço de mercado tornar-se superior ou inferior ao preço registrado, nos termos do artigos 26, § 3º </w:t>
      </w:r>
      <w:proofErr w:type="gramStart"/>
      <w:r>
        <w:rPr>
          <w:rFonts w:ascii="Arial" w:eastAsia="Arial" w:hAnsi="Arial" w:cs="Arial"/>
          <w:color w:val="000000"/>
          <w:sz w:val="20"/>
          <w:szCs w:val="20"/>
        </w:rPr>
        <w:t>e  27</w:t>
      </w:r>
      <w:proofErr w:type="gramEnd"/>
      <w:r>
        <w:rPr>
          <w:rFonts w:ascii="Arial" w:eastAsia="Arial" w:hAnsi="Arial" w:cs="Arial"/>
          <w:color w:val="000000"/>
          <w:sz w:val="20"/>
          <w:szCs w:val="20"/>
        </w:rPr>
        <w:t xml:space="preserve">, § 4º, ambos do Decreto nº 11.462, de 2023. </w:t>
      </w:r>
    </w:p>
    <w:p w14:paraId="0000009B"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DAS PENALIDADES</w:t>
      </w:r>
    </w:p>
    <w:p w14:paraId="0000009C" w14:textId="458ABC29"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O descumprimento da Ata de Registro de Preços ensejará aplicação das penalidades </w:t>
      </w:r>
      <w:r w:rsidRPr="007103C1">
        <w:rPr>
          <w:rFonts w:ascii="Arial" w:eastAsia="Arial" w:hAnsi="Arial" w:cs="Arial"/>
          <w:sz w:val="20"/>
          <w:szCs w:val="20"/>
        </w:rPr>
        <w:t>estabelecidas no edital</w:t>
      </w:r>
      <w:r>
        <w:rPr>
          <w:rFonts w:ascii="Arial" w:eastAsia="Arial" w:hAnsi="Arial" w:cs="Arial"/>
          <w:color w:val="000000"/>
          <w:sz w:val="20"/>
          <w:szCs w:val="20"/>
        </w:rPr>
        <w:t>.</w:t>
      </w:r>
    </w:p>
    <w:p w14:paraId="0000009D"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As sanções também se aplicam aos integrantes do cadastro de reserva no registro de preços que, convocados, não honrarem o compromisso assumido </w:t>
      </w:r>
      <w:sdt>
        <w:sdtPr>
          <w:tag w:val="goog_rdk_11"/>
          <w:id w:val="579488922"/>
        </w:sdtPr>
        <w:sdtContent/>
      </w:sdt>
      <w:r>
        <w:rPr>
          <w:rFonts w:ascii="Arial" w:eastAsia="Arial" w:hAnsi="Arial" w:cs="Arial"/>
          <w:color w:val="000000"/>
          <w:sz w:val="20"/>
          <w:szCs w:val="20"/>
        </w:rPr>
        <w:t xml:space="preserve">injustificadamente após terem assinado a ata. </w:t>
      </w:r>
    </w:p>
    <w:p w14:paraId="0000009E"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000009F"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órgão ou entidade participante deverá comunicar ao órgão gerenciador qualquer das ocorrências previstas no item 9.1, dada a necessidade de instauração de procedimento para cancelamento do registro do fornecedor.</w:t>
      </w:r>
    </w:p>
    <w:p w14:paraId="000000A0"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CONDIÇÕES GERAIS</w:t>
      </w:r>
    </w:p>
    <w:p w14:paraId="000000A1" w14:textId="76614FC0"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As condições gerais de execução do objeto, tais como os prazos para entrega e recebimento, as obrigações da Administração e do fornecedor registrado, penalidades e demais condições do ajuste, </w:t>
      </w:r>
      <w:r w:rsidRPr="007103C1">
        <w:rPr>
          <w:rFonts w:ascii="Arial" w:eastAsia="Arial" w:hAnsi="Arial" w:cs="Arial"/>
          <w:sz w:val="20"/>
          <w:szCs w:val="20"/>
        </w:rPr>
        <w:t>encontram-se definidos no Termo de Referência, ANEXO AO EDITAL</w:t>
      </w:r>
      <w:r>
        <w:rPr>
          <w:rFonts w:ascii="Arial" w:eastAsia="Arial" w:hAnsi="Arial" w:cs="Arial"/>
          <w:color w:val="000000"/>
          <w:sz w:val="20"/>
          <w:szCs w:val="20"/>
        </w:rPr>
        <w:t>.</w:t>
      </w:r>
    </w:p>
    <w:p w14:paraId="000000A2" w14:textId="77777777" w:rsidR="009D4061" w:rsidRPr="007103C1" w:rsidRDefault="00175E10">
      <w:pPr>
        <w:numPr>
          <w:ilvl w:val="1"/>
          <w:numId w:val="1"/>
        </w:numPr>
        <w:pBdr>
          <w:top w:val="nil"/>
          <w:left w:val="nil"/>
          <w:bottom w:val="nil"/>
          <w:right w:val="nil"/>
          <w:between w:val="nil"/>
        </w:pBdr>
        <w:spacing w:before="120" w:after="120" w:line="276" w:lineRule="auto"/>
        <w:ind w:left="0" w:firstLine="0"/>
        <w:jc w:val="both"/>
      </w:pPr>
      <w:r w:rsidRPr="007103C1">
        <w:rPr>
          <w:rFonts w:ascii="Arial" w:eastAsia="Arial" w:hAnsi="Arial" w:cs="Arial"/>
          <w:sz w:val="20"/>
          <w:szCs w:val="20"/>
        </w:rPr>
        <w:t>No caso de adjudicação por preço global de grupo de itens, só será admitida a contratação de parte de itens do grupo se houver prévia pesquisa de mercado e demonstração de sua vantagem para o órgão ou a entidade.</w:t>
      </w:r>
    </w:p>
    <w:p w14:paraId="399D10FA" w14:textId="77777777" w:rsidR="007103C1" w:rsidRDefault="00175E10">
      <w:pPr>
        <w:widowControl w:val="0"/>
        <w:spacing w:before="120" w:after="120" w:line="276" w:lineRule="auto"/>
        <w:jc w:val="both"/>
        <w:rPr>
          <w:rFonts w:ascii="Arial" w:eastAsia="Arial" w:hAnsi="Arial" w:cs="Arial"/>
          <w:sz w:val="20"/>
          <w:szCs w:val="20"/>
        </w:rPr>
      </w:pPr>
      <w:r>
        <w:rPr>
          <w:rFonts w:ascii="Arial" w:eastAsia="Arial" w:hAnsi="Arial" w:cs="Arial"/>
          <w:sz w:val="20"/>
          <w:szCs w:val="20"/>
        </w:rPr>
        <w:t xml:space="preserve">Para firmeza e validade do pactuado, a presente Ata foi lavrada em </w:t>
      </w:r>
      <w:r w:rsidR="007103C1">
        <w:rPr>
          <w:rFonts w:ascii="Arial" w:eastAsia="Arial" w:hAnsi="Arial" w:cs="Arial"/>
          <w:sz w:val="20"/>
          <w:szCs w:val="20"/>
        </w:rPr>
        <w:t>2</w:t>
      </w:r>
      <w:r>
        <w:rPr>
          <w:rFonts w:ascii="Arial" w:eastAsia="Arial" w:hAnsi="Arial" w:cs="Arial"/>
          <w:color w:val="FF0000"/>
          <w:sz w:val="20"/>
          <w:szCs w:val="20"/>
        </w:rPr>
        <w:t xml:space="preserve"> </w:t>
      </w:r>
      <w:r>
        <w:rPr>
          <w:rFonts w:ascii="Arial" w:eastAsia="Arial" w:hAnsi="Arial" w:cs="Arial"/>
          <w:sz w:val="20"/>
          <w:szCs w:val="20"/>
        </w:rPr>
        <w:t>(</w:t>
      </w:r>
      <w:r w:rsidR="007103C1">
        <w:rPr>
          <w:rFonts w:ascii="Arial" w:eastAsia="Arial" w:hAnsi="Arial" w:cs="Arial"/>
          <w:sz w:val="20"/>
          <w:szCs w:val="20"/>
        </w:rPr>
        <w:t>duas</w:t>
      </w:r>
      <w:r>
        <w:rPr>
          <w:rFonts w:ascii="Arial" w:eastAsia="Arial" w:hAnsi="Arial" w:cs="Arial"/>
          <w:sz w:val="20"/>
          <w:szCs w:val="20"/>
        </w:rPr>
        <w:t>) vias de igual teor, que, depois de lida e achada em ordem, vai assinada pelas partes</w:t>
      </w:r>
      <w:r w:rsidR="007103C1">
        <w:rPr>
          <w:rFonts w:ascii="Arial" w:eastAsia="Arial" w:hAnsi="Arial" w:cs="Arial"/>
          <w:sz w:val="20"/>
          <w:szCs w:val="20"/>
        </w:rPr>
        <w:t>.</w:t>
      </w:r>
    </w:p>
    <w:p w14:paraId="19E9369C" w14:textId="22E0BD2A" w:rsidR="003C22FE" w:rsidRDefault="00175E10">
      <w:pPr>
        <w:widowControl w:val="0"/>
        <w:spacing w:before="120" w:after="120" w:line="276" w:lineRule="auto"/>
        <w:jc w:val="both"/>
        <w:rPr>
          <w:rFonts w:ascii="Arial" w:eastAsia="Arial" w:hAnsi="Arial" w:cs="Arial"/>
          <w:i/>
          <w:color w:val="FF0000"/>
          <w:sz w:val="20"/>
          <w:szCs w:val="20"/>
        </w:rPr>
      </w:pPr>
      <w:r>
        <w:rPr>
          <w:rFonts w:ascii="Arial" w:eastAsia="Arial" w:hAnsi="Arial" w:cs="Arial"/>
          <w:i/>
          <w:color w:val="FF0000"/>
          <w:sz w:val="20"/>
          <w:szCs w:val="20"/>
        </w:rPr>
        <w:t xml:space="preserve"> </w:t>
      </w:r>
    </w:p>
    <w:p w14:paraId="000000A4" w14:textId="77777777" w:rsidR="009D4061" w:rsidRDefault="00175E10">
      <w:pPr>
        <w:widowControl w:val="0"/>
        <w:spacing w:line="360" w:lineRule="auto"/>
        <w:ind w:right="-30"/>
        <w:jc w:val="center"/>
        <w:rPr>
          <w:rFonts w:ascii="Arial" w:eastAsia="Arial" w:hAnsi="Arial" w:cs="Arial"/>
          <w:sz w:val="20"/>
          <w:szCs w:val="20"/>
        </w:rPr>
      </w:pPr>
      <w:r>
        <w:rPr>
          <w:rFonts w:ascii="Arial" w:eastAsia="Arial" w:hAnsi="Arial" w:cs="Arial"/>
          <w:sz w:val="20"/>
          <w:szCs w:val="20"/>
        </w:rPr>
        <w:t>Local e data</w:t>
      </w:r>
    </w:p>
    <w:p w14:paraId="000000A5" w14:textId="77777777" w:rsidR="009D4061" w:rsidRDefault="00175E10">
      <w:pPr>
        <w:widowControl w:val="0"/>
        <w:spacing w:line="360" w:lineRule="auto"/>
        <w:ind w:right="-30"/>
        <w:jc w:val="center"/>
        <w:rPr>
          <w:rFonts w:ascii="Arial" w:eastAsia="Arial" w:hAnsi="Arial" w:cs="Arial"/>
          <w:sz w:val="20"/>
          <w:szCs w:val="20"/>
        </w:rPr>
      </w:pPr>
      <w:r>
        <w:rPr>
          <w:rFonts w:ascii="Arial" w:eastAsia="Arial" w:hAnsi="Arial" w:cs="Arial"/>
          <w:sz w:val="20"/>
          <w:szCs w:val="20"/>
        </w:rPr>
        <w:t>Assinaturas</w:t>
      </w:r>
    </w:p>
    <w:tbl>
      <w:tblPr>
        <w:tblStyle w:val="Tabelacomgrade"/>
        <w:tblW w:w="0" w:type="auto"/>
        <w:tblLook w:val="04A0" w:firstRow="1" w:lastRow="0" w:firstColumn="1" w:lastColumn="0" w:noHBand="0" w:noVBand="1"/>
      </w:tblPr>
      <w:tblGrid>
        <w:gridCol w:w="4530"/>
        <w:gridCol w:w="4531"/>
      </w:tblGrid>
      <w:tr w:rsidR="00C11B2B" w14:paraId="2F6B8922" w14:textId="77777777" w:rsidTr="00C11B2B">
        <w:tc>
          <w:tcPr>
            <w:tcW w:w="4530" w:type="dxa"/>
          </w:tcPr>
          <w:p w14:paraId="24E5BDD4" w14:textId="793A3CED" w:rsidR="00C11B2B" w:rsidRDefault="00C11B2B">
            <w:pPr>
              <w:widowControl w:val="0"/>
              <w:spacing w:line="360" w:lineRule="auto"/>
              <w:ind w:right="-30"/>
              <w:jc w:val="center"/>
              <w:rPr>
                <w:rFonts w:ascii="Arial" w:eastAsia="Arial" w:hAnsi="Arial" w:cs="Arial"/>
                <w:sz w:val="20"/>
                <w:szCs w:val="20"/>
              </w:rPr>
            </w:pPr>
            <w:r>
              <w:rPr>
                <w:rFonts w:ascii="Arial" w:eastAsia="Arial" w:hAnsi="Arial" w:cs="Arial"/>
                <w:sz w:val="20"/>
                <w:szCs w:val="20"/>
              </w:rPr>
              <w:t>Representante legal do órgão gerenciador</w:t>
            </w:r>
          </w:p>
        </w:tc>
        <w:tc>
          <w:tcPr>
            <w:tcW w:w="4531" w:type="dxa"/>
          </w:tcPr>
          <w:p w14:paraId="0B59BC61" w14:textId="7D81D950" w:rsidR="00C11B2B" w:rsidRDefault="00C11B2B" w:rsidP="00C11B2B">
            <w:pPr>
              <w:widowControl w:val="0"/>
              <w:spacing w:line="360" w:lineRule="auto"/>
              <w:ind w:right="-30"/>
              <w:jc w:val="center"/>
              <w:rPr>
                <w:rFonts w:ascii="Arial" w:eastAsia="Arial" w:hAnsi="Arial" w:cs="Arial"/>
                <w:color w:val="000000"/>
                <w:sz w:val="20"/>
                <w:szCs w:val="20"/>
              </w:rPr>
            </w:pPr>
            <w:r>
              <w:rPr>
                <w:rFonts w:ascii="Arial" w:eastAsia="Arial" w:hAnsi="Arial" w:cs="Arial"/>
                <w:sz w:val="20"/>
                <w:szCs w:val="20"/>
              </w:rPr>
              <w:t xml:space="preserve">Representante legal do </w:t>
            </w:r>
            <w:r>
              <w:rPr>
                <w:rFonts w:ascii="Arial" w:eastAsia="Arial" w:hAnsi="Arial" w:cs="Arial"/>
                <w:color w:val="000000"/>
                <w:sz w:val="20"/>
                <w:szCs w:val="20"/>
              </w:rPr>
              <w:t>fornecedor registrado</w:t>
            </w:r>
          </w:p>
          <w:p w14:paraId="797ADB41" w14:textId="77777777" w:rsidR="00C11B2B" w:rsidRDefault="00C11B2B" w:rsidP="00C11B2B">
            <w:pPr>
              <w:widowControl w:val="0"/>
              <w:spacing w:line="360" w:lineRule="auto"/>
              <w:ind w:right="-30"/>
              <w:jc w:val="center"/>
              <w:rPr>
                <w:rFonts w:ascii="Arial" w:eastAsia="Arial" w:hAnsi="Arial" w:cs="Arial"/>
                <w:color w:val="000000"/>
                <w:sz w:val="20"/>
                <w:szCs w:val="20"/>
              </w:rPr>
            </w:pPr>
          </w:p>
          <w:p w14:paraId="7E9B0785" w14:textId="77777777" w:rsidR="00C11B2B" w:rsidRDefault="00C11B2B">
            <w:pPr>
              <w:widowControl w:val="0"/>
              <w:spacing w:line="360" w:lineRule="auto"/>
              <w:ind w:right="-30"/>
              <w:jc w:val="center"/>
              <w:rPr>
                <w:rFonts w:ascii="Arial" w:eastAsia="Arial" w:hAnsi="Arial" w:cs="Arial"/>
                <w:sz w:val="20"/>
                <w:szCs w:val="20"/>
              </w:rPr>
            </w:pPr>
          </w:p>
          <w:p w14:paraId="1C7C78EC" w14:textId="77777777" w:rsidR="00C11B2B" w:rsidRDefault="00C11B2B">
            <w:pPr>
              <w:widowControl w:val="0"/>
              <w:spacing w:line="360" w:lineRule="auto"/>
              <w:ind w:right="-30"/>
              <w:jc w:val="center"/>
              <w:rPr>
                <w:rFonts w:ascii="Arial" w:eastAsia="Arial" w:hAnsi="Arial" w:cs="Arial"/>
                <w:sz w:val="20"/>
                <w:szCs w:val="20"/>
              </w:rPr>
            </w:pPr>
          </w:p>
          <w:p w14:paraId="0A5EC1DB" w14:textId="77777777" w:rsidR="00C11B2B" w:rsidRDefault="00C11B2B">
            <w:pPr>
              <w:widowControl w:val="0"/>
              <w:spacing w:line="360" w:lineRule="auto"/>
              <w:ind w:right="-30"/>
              <w:jc w:val="center"/>
              <w:rPr>
                <w:rFonts w:ascii="Arial" w:eastAsia="Arial" w:hAnsi="Arial" w:cs="Arial"/>
                <w:sz w:val="20"/>
                <w:szCs w:val="20"/>
              </w:rPr>
            </w:pPr>
          </w:p>
          <w:p w14:paraId="1CB03846" w14:textId="77777777" w:rsidR="006F3F99" w:rsidRDefault="006F3F99">
            <w:pPr>
              <w:widowControl w:val="0"/>
              <w:spacing w:line="360" w:lineRule="auto"/>
              <w:ind w:right="-30"/>
              <w:jc w:val="center"/>
              <w:rPr>
                <w:rFonts w:ascii="Arial" w:eastAsia="Arial" w:hAnsi="Arial" w:cs="Arial"/>
                <w:sz w:val="20"/>
                <w:szCs w:val="20"/>
              </w:rPr>
            </w:pPr>
          </w:p>
        </w:tc>
      </w:tr>
    </w:tbl>
    <w:p w14:paraId="11E27427" w14:textId="78C1356E" w:rsidR="003C22FE" w:rsidRDefault="003C22FE">
      <w:pPr>
        <w:widowControl w:val="0"/>
        <w:spacing w:line="360" w:lineRule="auto"/>
        <w:ind w:right="-30"/>
        <w:jc w:val="center"/>
        <w:rPr>
          <w:rFonts w:ascii="Arial" w:eastAsia="Arial" w:hAnsi="Arial" w:cs="Arial"/>
          <w:color w:val="000000"/>
          <w:sz w:val="20"/>
          <w:szCs w:val="20"/>
        </w:rPr>
      </w:pPr>
      <w:r>
        <w:rPr>
          <w:rFonts w:ascii="Arial" w:eastAsia="Arial" w:hAnsi="Arial" w:cs="Arial"/>
          <w:color w:val="000000"/>
        </w:rPr>
        <w:lastRenderedPageBreak/>
        <w:t>Anexo</w:t>
      </w:r>
    </w:p>
    <w:p w14:paraId="000000AC" w14:textId="77777777" w:rsidR="009D4061" w:rsidRDefault="009D4061">
      <w:pPr>
        <w:widowControl w:val="0"/>
        <w:spacing w:line="360" w:lineRule="auto"/>
        <w:ind w:right="-30"/>
        <w:jc w:val="center"/>
        <w:rPr>
          <w:rFonts w:ascii="Arial" w:eastAsia="Arial" w:hAnsi="Arial" w:cs="Arial"/>
          <w:color w:val="000000"/>
          <w:sz w:val="20"/>
          <w:szCs w:val="20"/>
        </w:rPr>
      </w:pPr>
    </w:p>
    <w:p w14:paraId="000000AD" w14:textId="77777777" w:rsidR="009D4061" w:rsidRPr="003C22FE" w:rsidRDefault="00175E10">
      <w:pPr>
        <w:widowControl w:val="0"/>
        <w:spacing w:line="360" w:lineRule="auto"/>
        <w:ind w:right="-30"/>
        <w:jc w:val="center"/>
        <w:rPr>
          <w:rFonts w:ascii="Arial" w:eastAsia="Arial" w:hAnsi="Arial" w:cs="Arial"/>
          <w:color w:val="000000"/>
          <w:sz w:val="28"/>
          <w:szCs w:val="20"/>
        </w:rPr>
      </w:pPr>
      <w:r w:rsidRPr="003C22FE">
        <w:rPr>
          <w:rFonts w:ascii="Arial" w:eastAsia="Arial" w:hAnsi="Arial" w:cs="Arial"/>
          <w:color w:val="000000"/>
          <w:sz w:val="28"/>
          <w:szCs w:val="20"/>
        </w:rPr>
        <w:t>Cadastro Reserva</w:t>
      </w:r>
    </w:p>
    <w:p w14:paraId="000000AE" w14:textId="77777777" w:rsidR="009D4061" w:rsidRDefault="009D4061">
      <w:pPr>
        <w:widowControl w:val="0"/>
        <w:spacing w:line="360" w:lineRule="auto"/>
        <w:ind w:right="-30"/>
        <w:jc w:val="center"/>
        <w:rPr>
          <w:rFonts w:ascii="Arial" w:eastAsia="Arial" w:hAnsi="Arial" w:cs="Arial"/>
          <w:color w:val="000000"/>
          <w:sz w:val="20"/>
          <w:szCs w:val="20"/>
        </w:rPr>
      </w:pPr>
    </w:p>
    <w:p w14:paraId="000000AF" w14:textId="77777777" w:rsidR="009D4061" w:rsidRPr="002E115C" w:rsidRDefault="00175E10">
      <w:pPr>
        <w:widowControl w:val="0"/>
        <w:spacing w:line="360" w:lineRule="auto"/>
        <w:ind w:right="-30"/>
        <w:jc w:val="center"/>
        <w:rPr>
          <w:rFonts w:ascii="Arial" w:eastAsia="Arial" w:hAnsi="Arial" w:cs="Arial"/>
          <w:b/>
          <w:color w:val="000000"/>
          <w:u w:val="single"/>
        </w:rPr>
      </w:pPr>
      <w:r w:rsidRPr="002E115C">
        <w:rPr>
          <w:rFonts w:ascii="Arial" w:eastAsia="Arial" w:hAnsi="Arial" w:cs="Arial"/>
          <w:b/>
          <w:color w:val="000000"/>
          <w:u w:val="single"/>
        </w:rPr>
        <w:t>Seguindo a ordem de classificação, segue relação de fornecedores que aceitaram cotar os itens com preços iguais ao adjudicatário:</w:t>
      </w:r>
    </w:p>
    <w:p w14:paraId="000000B0" w14:textId="77777777" w:rsidR="009D4061" w:rsidRDefault="009D4061">
      <w:pPr>
        <w:widowControl w:val="0"/>
        <w:spacing w:line="360" w:lineRule="auto"/>
        <w:ind w:right="-30"/>
        <w:jc w:val="center"/>
        <w:rPr>
          <w:rFonts w:ascii="Arial" w:eastAsia="Arial" w:hAnsi="Arial" w:cs="Arial"/>
          <w:color w:val="000000"/>
          <w:sz w:val="20"/>
          <w:szCs w:val="20"/>
        </w:rPr>
      </w:pPr>
    </w:p>
    <w:p w14:paraId="6A94E989" w14:textId="77777777" w:rsidR="00804CCD" w:rsidRDefault="00804CCD">
      <w:pPr>
        <w:widowControl w:val="0"/>
        <w:spacing w:line="360" w:lineRule="auto"/>
        <w:ind w:right="-30"/>
        <w:jc w:val="center"/>
        <w:rPr>
          <w:rFonts w:ascii="Arial" w:eastAsia="Arial" w:hAnsi="Arial" w:cs="Arial"/>
          <w:color w:val="000000"/>
          <w:sz w:val="20"/>
          <w:szCs w:val="20"/>
        </w:rPr>
      </w:pPr>
    </w:p>
    <w:p w14:paraId="4CA1869D" w14:textId="77777777" w:rsidR="00804CCD" w:rsidRDefault="00804CCD" w:rsidP="00804CCD">
      <w:pPr>
        <w:pStyle w:val="Padro"/>
        <w:spacing w:line="360" w:lineRule="auto"/>
        <w:ind w:right="-30"/>
        <w:jc w:val="center"/>
      </w:pPr>
    </w:p>
    <w:p w14:paraId="6BB60488" w14:textId="767B3F20" w:rsidR="00804CCD" w:rsidRPr="00804CCD" w:rsidRDefault="00804CCD" w:rsidP="00804CCD">
      <w:pPr>
        <w:pStyle w:val="Padro"/>
        <w:spacing w:line="360" w:lineRule="auto"/>
        <w:ind w:right="-30"/>
        <w:jc w:val="center"/>
        <w:rPr>
          <w:lang w:val="pt-BR"/>
        </w:rPr>
      </w:pPr>
      <w:r>
        <w:rPr>
          <w:rFonts w:ascii="Arial" w:eastAsia="Times New Roman" w:hAnsi="Arial"/>
          <w:sz w:val="20"/>
        </w:rPr>
        <w:t xml:space="preserve">Relação de Fornecedores com preços iguais ao adjudicatário </w:t>
      </w:r>
    </w:p>
    <w:p w14:paraId="40D8CAE5" w14:textId="77777777" w:rsidR="00804CCD" w:rsidRDefault="00804CCD" w:rsidP="00804CCD">
      <w:pPr>
        <w:pStyle w:val="Padro"/>
        <w:spacing w:line="360" w:lineRule="auto"/>
        <w:ind w:right="-30"/>
        <w:jc w:val="center"/>
      </w:pPr>
      <w:r>
        <w:rPr>
          <w:rFonts w:ascii="Arial" w:eastAsia="Times New Roman" w:hAnsi="Arial"/>
          <w:sz w:val="20"/>
        </w:rPr>
        <w:t xml:space="preserve"> </w:t>
      </w:r>
      <w:r>
        <w:rPr>
          <w:rFonts w:ascii="Arial" w:eastAsia="Times New Roman" w:hAnsi="Arial"/>
          <w:i/>
          <w:sz w:val="20"/>
          <w:shd w:val="clear" w:color="auto" w:fill="FFFF00"/>
        </w:rPr>
        <w:t>(Classificação, razão social, CNPJ/MF, endereço, contatos, representante, valor total)</w:t>
      </w:r>
    </w:p>
    <w:p w14:paraId="57EC85D6" w14:textId="77777777" w:rsidR="00804CCD" w:rsidRDefault="00804CCD" w:rsidP="00804CCD">
      <w:pPr>
        <w:pStyle w:val="Padro"/>
        <w:spacing w:line="360" w:lineRule="auto"/>
        <w:ind w:right="-30"/>
        <w:jc w:val="center"/>
      </w:pPr>
    </w:p>
    <w:p w14:paraId="71E33F59" w14:textId="77777777" w:rsidR="00804CCD" w:rsidRDefault="00804CCD" w:rsidP="00804CCD">
      <w:pPr>
        <w:pStyle w:val="Padro"/>
        <w:spacing w:line="360" w:lineRule="auto"/>
        <w:ind w:right="-30"/>
        <w:jc w:val="center"/>
      </w:pPr>
    </w:p>
    <w:p w14:paraId="36021E30" w14:textId="77777777" w:rsidR="00804CCD" w:rsidRDefault="00804CCD" w:rsidP="00804CCD">
      <w:pPr>
        <w:pStyle w:val="Padro"/>
        <w:spacing w:line="360" w:lineRule="auto"/>
        <w:ind w:right="-30"/>
        <w:jc w:val="center"/>
      </w:pPr>
    </w:p>
    <w:p w14:paraId="0A4CDDCC" w14:textId="77777777" w:rsidR="00804CCD" w:rsidRDefault="00804CCD" w:rsidP="00804CCD">
      <w:pPr>
        <w:pStyle w:val="Padro"/>
        <w:spacing w:line="360" w:lineRule="auto"/>
        <w:ind w:right="-30"/>
        <w:jc w:val="center"/>
      </w:pPr>
    </w:p>
    <w:p w14:paraId="41E5A417" w14:textId="77777777" w:rsidR="00804CCD" w:rsidRDefault="00804CCD" w:rsidP="00804CCD">
      <w:pPr>
        <w:pStyle w:val="Padro"/>
        <w:spacing w:line="360" w:lineRule="auto"/>
        <w:ind w:right="-30"/>
        <w:jc w:val="center"/>
      </w:pPr>
    </w:p>
    <w:p w14:paraId="21D4DD0D" w14:textId="77777777" w:rsidR="00804CCD" w:rsidRDefault="00804CCD" w:rsidP="00804CCD">
      <w:pPr>
        <w:pStyle w:val="Padro"/>
        <w:spacing w:line="360" w:lineRule="auto"/>
        <w:ind w:right="-30"/>
        <w:jc w:val="center"/>
      </w:pPr>
      <w:r>
        <w:rPr>
          <w:rFonts w:ascii="Arial" w:eastAsia="Times New Roman" w:hAnsi="Arial"/>
          <w:b/>
          <w:color w:val="000000"/>
          <w:u w:val="single"/>
        </w:rPr>
        <w:t>Seguindo a ordem de classificação, segue relação de fornecedores que mantiveram sua proposta final cadastrada no sistema:</w:t>
      </w:r>
    </w:p>
    <w:p w14:paraId="7E30F544" w14:textId="77777777" w:rsidR="00804CCD" w:rsidRDefault="00804CCD" w:rsidP="00804CCD">
      <w:pPr>
        <w:pStyle w:val="Padro"/>
        <w:spacing w:line="360" w:lineRule="auto"/>
        <w:ind w:right="-30"/>
        <w:jc w:val="center"/>
      </w:pPr>
    </w:p>
    <w:p w14:paraId="373E1EBA" w14:textId="77777777" w:rsidR="00804CCD" w:rsidRDefault="00804CCD" w:rsidP="00804CCD">
      <w:pPr>
        <w:pStyle w:val="Padro"/>
        <w:spacing w:line="360" w:lineRule="auto"/>
        <w:ind w:right="-30"/>
        <w:jc w:val="center"/>
      </w:pPr>
    </w:p>
    <w:p w14:paraId="652D8422" w14:textId="7F6E08C1" w:rsidR="00804CCD" w:rsidRDefault="00804CCD" w:rsidP="00804CCD">
      <w:pPr>
        <w:pStyle w:val="Padro"/>
        <w:spacing w:line="360" w:lineRule="auto"/>
        <w:ind w:right="-30"/>
        <w:jc w:val="center"/>
      </w:pPr>
      <w:r>
        <w:rPr>
          <w:rFonts w:ascii="Arial" w:eastAsia="Times New Roman" w:hAnsi="Arial"/>
          <w:sz w:val="20"/>
        </w:rPr>
        <w:t xml:space="preserve">Relação de Fornecedores que mantiveram a proposta </w:t>
      </w:r>
      <w:r w:rsidR="003C22FE">
        <w:rPr>
          <w:rFonts w:ascii="Arial" w:eastAsia="Times New Roman" w:hAnsi="Arial"/>
          <w:sz w:val="20"/>
          <w:lang w:val="pt-BR"/>
        </w:rPr>
        <w:t>cadastrada no sistema</w:t>
      </w:r>
      <w:r>
        <w:rPr>
          <w:rFonts w:ascii="Arial" w:eastAsia="Times New Roman" w:hAnsi="Arial"/>
          <w:sz w:val="20"/>
        </w:rPr>
        <w:t xml:space="preserve"> </w:t>
      </w:r>
    </w:p>
    <w:p w14:paraId="1E32FFE5" w14:textId="77777777" w:rsidR="00804CCD" w:rsidRDefault="00804CCD" w:rsidP="00804CCD">
      <w:pPr>
        <w:pStyle w:val="Padro"/>
        <w:spacing w:line="360" w:lineRule="auto"/>
        <w:ind w:right="-30"/>
        <w:jc w:val="center"/>
      </w:pPr>
      <w:r>
        <w:rPr>
          <w:rFonts w:ascii="Arial" w:eastAsia="Times New Roman" w:hAnsi="Arial"/>
          <w:i/>
          <w:sz w:val="20"/>
          <w:shd w:val="clear" w:color="auto" w:fill="FFFF00"/>
        </w:rPr>
        <w:t>(Classificação, razão social, CNPJ/MF, endereço, contatos, representante, valor total)</w:t>
      </w:r>
    </w:p>
    <w:p w14:paraId="000000D3" w14:textId="77777777" w:rsidR="009D4061" w:rsidRDefault="009D4061" w:rsidP="003C22FE">
      <w:pPr>
        <w:widowControl w:val="0"/>
        <w:spacing w:line="360" w:lineRule="auto"/>
        <w:ind w:right="-30"/>
        <w:rPr>
          <w:rFonts w:ascii="Arial" w:eastAsia="Arial" w:hAnsi="Arial" w:cs="Arial"/>
          <w:color w:val="000000"/>
          <w:sz w:val="20"/>
          <w:szCs w:val="20"/>
        </w:rPr>
      </w:pPr>
    </w:p>
    <w:p w14:paraId="000000F6" w14:textId="77777777" w:rsidR="009D4061" w:rsidRDefault="009D4061">
      <w:pPr>
        <w:widowControl w:val="0"/>
        <w:spacing w:line="360" w:lineRule="auto"/>
        <w:ind w:right="-30"/>
        <w:jc w:val="center"/>
        <w:rPr>
          <w:rFonts w:ascii="Arial" w:eastAsia="Arial" w:hAnsi="Arial" w:cs="Arial"/>
          <w:color w:val="000000"/>
          <w:sz w:val="20"/>
          <w:szCs w:val="20"/>
        </w:rPr>
      </w:pPr>
    </w:p>
    <w:sectPr w:rsidR="009D4061">
      <w:footerReference w:type="default" r:id="rId9"/>
      <w:pgSz w:w="11906" w:h="16838"/>
      <w:pgMar w:top="1418" w:right="1134" w:bottom="1418"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2A1210" w14:textId="77777777" w:rsidR="00681BB9" w:rsidRDefault="00681BB9">
      <w:r>
        <w:separator/>
      </w:r>
    </w:p>
  </w:endnote>
  <w:endnote w:type="continuationSeparator" w:id="0">
    <w:p w14:paraId="7D1072A9" w14:textId="77777777" w:rsidR="00681BB9" w:rsidRDefault="00681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cofont_Spranq_eco_Sans">
    <w:altName w:val="Arial"/>
    <w:charset w:val="00"/>
    <w:family w:val="swiss"/>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F7" w14:textId="77777777" w:rsidR="00CA4897" w:rsidRDefault="00CA4897">
    <w:pPr>
      <w:pBdr>
        <w:top w:val="nil"/>
        <w:left w:val="nil"/>
        <w:bottom w:val="nil"/>
        <w:right w:val="nil"/>
        <w:between w:val="nil"/>
      </w:pBdr>
      <w:tabs>
        <w:tab w:val="center" w:pos="4252"/>
        <w:tab w:val="right" w:pos="8504"/>
      </w:tabs>
      <w:rPr>
        <w:rFonts w:ascii="Times New Roman" w:eastAsia="Times New Roman" w:hAnsi="Times New Roman" w:cs="Times New Roman"/>
        <w:color w:val="000000"/>
      </w:rPr>
    </w:pPr>
    <w:r>
      <w:rPr>
        <w:rFonts w:ascii="Times New Roman" w:eastAsia="Times New Roman" w:hAnsi="Times New Roman" w:cs="Times New Roman"/>
        <w:color w:val="000000"/>
      </w:rPr>
      <w:t>____________________________________________________________________</w:t>
    </w:r>
  </w:p>
  <w:p w14:paraId="000000F8" w14:textId="77777777" w:rsidR="00CA4897" w:rsidRDefault="00CA4897">
    <w:pPr>
      <w:pBdr>
        <w:top w:val="nil"/>
        <w:left w:val="nil"/>
        <w:bottom w:val="nil"/>
        <w:right w:val="nil"/>
        <w:between w:val="nil"/>
      </w:pBdr>
      <w:tabs>
        <w:tab w:val="center" w:pos="4252"/>
        <w:tab w:val="right" w:pos="8504"/>
      </w:tabs>
      <w:rPr>
        <w:rFonts w:ascii="Arial" w:eastAsia="Arial" w:hAnsi="Arial" w:cs="Arial"/>
        <w:color w:val="000000"/>
        <w:sz w:val="12"/>
        <w:szCs w:val="12"/>
      </w:rPr>
    </w:pPr>
  </w:p>
  <w:p w14:paraId="000000F9" w14:textId="77777777" w:rsidR="00CA4897" w:rsidRDefault="00CA4897">
    <w:pPr>
      <w:pBdr>
        <w:top w:val="nil"/>
        <w:left w:val="nil"/>
        <w:bottom w:val="nil"/>
        <w:right w:val="nil"/>
        <w:between w:val="nil"/>
      </w:pBdr>
      <w:tabs>
        <w:tab w:val="center" w:pos="4252"/>
        <w:tab w:val="right" w:pos="8504"/>
      </w:tabs>
      <w:rPr>
        <w:rFonts w:ascii="Arial" w:eastAsia="Arial" w:hAnsi="Arial" w:cs="Arial"/>
        <w:color w:val="000000"/>
        <w:sz w:val="12"/>
        <w:szCs w:val="12"/>
      </w:rPr>
    </w:pPr>
    <w:r>
      <w:rPr>
        <w:rFonts w:ascii="Arial" w:eastAsia="Arial" w:hAnsi="Arial" w:cs="Arial"/>
        <w:color w:val="000000"/>
        <w:sz w:val="12"/>
        <w:szCs w:val="12"/>
      </w:rPr>
      <w:t>Atualização: maio/2023</w:t>
    </w:r>
  </w:p>
  <w:p w14:paraId="000000FA" w14:textId="77777777" w:rsidR="00CA4897" w:rsidRDefault="00CA4897">
    <w:pPr>
      <w:pBdr>
        <w:top w:val="nil"/>
        <w:left w:val="nil"/>
        <w:bottom w:val="nil"/>
        <w:right w:val="nil"/>
        <w:between w:val="nil"/>
      </w:pBdr>
      <w:tabs>
        <w:tab w:val="center" w:pos="4252"/>
        <w:tab w:val="right" w:pos="8504"/>
      </w:tabs>
      <w:rPr>
        <w:rFonts w:ascii="Arial" w:eastAsia="Arial" w:hAnsi="Arial" w:cs="Arial"/>
        <w:color w:val="000000"/>
        <w:sz w:val="12"/>
        <w:szCs w:val="12"/>
      </w:rPr>
    </w:pPr>
    <w:r>
      <w:rPr>
        <w:rFonts w:ascii="Arial" w:eastAsia="Arial" w:hAnsi="Arial" w:cs="Arial"/>
        <w:color w:val="000000"/>
        <w:sz w:val="12"/>
        <w:szCs w:val="12"/>
      </w:rPr>
      <w:t xml:space="preserve">Ata de Registro de Preços </w:t>
    </w:r>
    <w:proofErr w:type="gramStart"/>
    <w:r>
      <w:rPr>
        <w:rFonts w:ascii="Arial" w:eastAsia="Arial" w:hAnsi="Arial" w:cs="Arial"/>
        <w:color w:val="000000"/>
        <w:sz w:val="12"/>
        <w:szCs w:val="12"/>
      </w:rPr>
      <w:t>–  Lei</w:t>
    </w:r>
    <w:proofErr w:type="gramEnd"/>
    <w:r>
      <w:rPr>
        <w:rFonts w:ascii="Arial" w:eastAsia="Arial" w:hAnsi="Arial" w:cs="Arial"/>
        <w:color w:val="000000"/>
        <w:sz w:val="12"/>
        <w:szCs w:val="12"/>
      </w:rPr>
      <w:t xml:space="preserve"> nº 14.133, de 2021.</w:t>
    </w:r>
  </w:p>
  <w:p w14:paraId="000000FB" w14:textId="77777777" w:rsidR="00CA4897" w:rsidRDefault="00CA4897">
    <w:pPr>
      <w:pBdr>
        <w:top w:val="nil"/>
        <w:left w:val="nil"/>
        <w:bottom w:val="nil"/>
        <w:right w:val="nil"/>
        <w:between w:val="nil"/>
      </w:pBdr>
      <w:tabs>
        <w:tab w:val="center" w:pos="4252"/>
        <w:tab w:val="right" w:pos="8504"/>
      </w:tabs>
      <w:rPr>
        <w:rFonts w:ascii="Arial" w:eastAsia="Arial" w:hAnsi="Arial" w:cs="Arial"/>
        <w:color w:val="000000"/>
        <w:sz w:val="12"/>
        <w:szCs w:val="12"/>
      </w:rPr>
    </w:pPr>
  </w:p>
  <w:p w14:paraId="000000FC" w14:textId="77777777" w:rsidR="00CA4897" w:rsidRDefault="00CA4897">
    <w:pPr>
      <w:pBdr>
        <w:top w:val="nil"/>
        <w:left w:val="nil"/>
        <w:bottom w:val="nil"/>
        <w:right w:val="nil"/>
        <w:between w:val="nil"/>
      </w:pBdr>
      <w:tabs>
        <w:tab w:val="center" w:pos="4252"/>
        <w:tab w:val="right" w:pos="8504"/>
      </w:tabs>
      <w:rPr>
        <w:rFonts w:ascii="Arial" w:eastAsia="Arial" w:hAnsi="Arial" w:cs="Arial"/>
        <w:color w:val="000000"/>
        <w:sz w:val="12"/>
        <w:szCs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56A7F7" w14:textId="77777777" w:rsidR="00681BB9" w:rsidRDefault="00681BB9">
      <w:r>
        <w:separator/>
      </w:r>
    </w:p>
  </w:footnote>
  <w:footnote w:type="continuationSeparator" w:id="0">
    <w:p w14:paraId="0CAF34B1" w14:textId="77777777" w:rsidR="00681BB9" w:rsidRDefault="00681B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9152E2"/>
    <w:multiLevelType w:val="multilevel"/>
    <w:tmpl w:val="045E0A3A"/>
    <w:lvl w:ilvl="0">
      <w:start w:val="1"/>
      <w:numFmt w:val="decimal"/>
      <w:pStyle w:val="Nivel01"/>
      <w:lvlText w:val="%1."/>
      <w:lvlJc w:val="left"/>
      <w:pPr>
        <w:ind w:left="360" w:hanging="360"/>
      </w:pPr>
      <w:rPr>
        <w:b/>
        <w:color w:val="000000"/>
        <w:sz w:val="20"/>
        <w:szCs w:val="20"/>
      </w:rPr>
    </w:lvl>
    <w:lvl w:ilvl="1">
      <w:start w:val="1"/>
      <w:numFmt w:val="decimal"/>
      <w:pStyle w:val="Nivel2"/>
      <w:lvlText w:val="%1.%2."/>
      <w:lvlJc w:val="left"/>
      <w:pPr>
        <w:ind w:left="1283" w:hanging="431"/>
      </w:pPr>
      <w:rPr>
        <w:sz w:val="20"/>
        <w:szCs w:val="20"/>
      </w:rPr>
    </w:lvl>
    <w:lvl w:ilvl="2">
      <w:start w:val="1"/>
      <w:numFmt w:val="decimal"/>
      <w:pStyle w:val="Nvel3-R"/>
      <w:lvlText w:val="%1.%2.%3."/>
      <w:lvlJc w:val="left"/>
      <w:pPr>
        <w:ind w:left="1497" w:hanging="504"/>
      </w:pPr>
      <w:rPr>
        <w:sz w:val="20"/>
        <w:szCs w:val="20"/>
      </w:rPr>
    </w:lvl>
    <w:lvl w:ilvl="3">
      <w:start w:val="1"/>
      <w:numFmt w:val="decimal"/>
      <w:pStyle w:val="Nvel4"/>
      <w:lvlText w:val="%1.%2.%3.%4."/>
      <w:lvlJc w:val="left"/>
      <w:pPr>
        <w:ind w:left="1728" w:hanging="647"/>
      </w:pPr>
      <w:rPr>
        <w:sz w:val="20"/>
        <w:szCs w:val="2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CE06E6B"/>
    <w:multiLevelType w:val="multilevel"/>
    <w:tmpl w:val="A724C1F8"/>
    <w:lvl w:ilvl="0">
      <w:start w:val="1"/>
      <w:numFmt w:val="decimal"/>
      <w:lvlText w:val="%1"/>
      <w:lvlJc w:val="left"/>
      <w:pPr>
        <w:ind w:left="360" w:hanging="360"/>
      </w:pPr>
      <w:rPr>
        <w:rFonts w:ascii="Calibri" w:hAnsi="Calibri"/>
        <w:b/>
        <w:color w:val="auto"/>
        <w:sz w:val="22"/>
        <w:szCs w:val="22"/>
      </w:rPr>
    </w:lvl>
    <w:lvl w:ilvl="1">
      <w:start w:val="1"/>
      <w:numFmt w:val="decimal"/>
      <w:lvlText w:val="%1.%2"/>
      <w:lvlJc w:val="left"/>
      <w:pPr>
        <w:ind w:left="360" w:hanging="360"/>
      </w:pPr>
      <w:rPr>
        <w:rFonts w:ascii="Calibri" w:hAnsi="Calibri"/>
        <w:b/>
        <w:i w:val="0"/>
        <w:color w:val="auto"/>
        <w:sz w:val="22"/>
        <w:szCs w:val="22"/>
      </w:rPr>
    </w:lvl>
    <w:lvl w:ilvl="2">
      <w:start w:val="1"/>
      <w:numFmt w:val="decimal"/>
      <w:lvlText w:val="%1.%2.%3"/>
      <w:lvlJc w:val="left"/>
      <w:pPr>
        <w:ind w:left="720" w:hanging="720"/>
      </w:pPr>
      <w:rPr>
        <w:rFonts w:ascii="Calibri" w:hAnsi="Calibri"/>
        <w:b/>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440" w:hanging="1440"/>
      </w:pPr>
      <w:rPr>
        <w:color w:val="auto"/>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061"/>
    <w:rsid w:val="00006A9D"/>
    <w:rsid w:val="00175E10"/>
    <w:rsid w:val="001774E3"/>
    <w:rsid w:val="00184F5E"/>
    <w:rsid w:val="001D690C"/>
    <w:rsid w:val="00200241"/>
    <w:rsid w:val="0029121C"/>
    <w:rsid w:val="002D4EC0"/>
    <w:rsid w:val="002E115C"/>
    <w:rsid w:val="003339E4"/>
    <w:rsid w:val="003C22FE"/>
    <w:rsid w:val="00492A7C"/>
    <w:rsid w:val="005C2AB4"/>
    <w:rsid w:val="006468F6"/>
    <w:rsid w:val="00681BB9"/>
    <w:rsid w:val="006F3F99"/>
    <w:rsid w:val="007103C1"/>
    <w:rsid w:val="00797A4B"/>
    <w:rsid w:val="00804CCD"/>
    <w:rsid w:val="0089320E"/>
    <w:rsid w:val="009D4061"/>
    <w:rsid w:val="00B86B6C"/>
    <w:rsid w:val="00C11B2B"/>
    <w:rsid w:val="00C95F4D"/>
    <w:rsid w:val="00CA2157"/>
    <w:rsid w:val="00CA4897"/>
    <w:rsid w:val="00CC7795"/>
    <w:rsid w:val="00D104AF"/>
    <w:rsid w:val="00D235D8"/>
    <w:rsid w:val="00DA1357"/>
    <w:rsid w:val="00DD5807"/>
    <w:rsid w:val="00EC67D8"/>
    <w:rsid w:val="00F65706"/>
    <w:rsid w:val="00FB228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38559F-07AB-49D8-AB86-227461153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B46FC"/>
    <w:rPr>
      <w:rFonts w:cs="Tahoma"/>
    </w:rPr>
  </w:style>
  <w:style w:type="paragraph" w:styleId="Ttulo1">
    <w:name w:val="heading 1"/>
    <w:basedOn w:val="Normal"/>
    <w:next w:val="Normal"/>
    <w:link w:val="Ttulo1Char"/>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GradeColorida-nfase11">
    <w:name w:val="Grade Colorida - Ênfase 11"/>
    <w:basedOn w:val="Normal"/>
    <w:next w:val="Normal"/>
    <w:link w:val="GradeColorida-nfase1Char"/>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rsid w:val="00CB46FC"/>
    <w:rPr>
      <w:rFonts w:ascii="Ecofont_Spranq_eco_Sans" w:eastAsia="Calibri" w:hAnsi="Ecofont_Spranq_eco_Sans" w:cs="Tahoma"/>
      <w:i/>
      <w:iCs/>
      <w:color w:val="000000"/>
      <w:szCs w:val="24"/>
      <w:lang w:val="pt-BR" w:eastAsia="en-US" w:bidi="ar-SA"/>
    </w:rPr>
  </w:style>
  <w:style w:type="paragraph" w:styleId="Corpodetexto">
    <w:name w:val="Body Text"/>
    <w:basedOn w:val="Normal"/>
    <w:link w:val="CorpodetextoChar"/>
    <w:uiPriority w:val="99"/>
    <w:unhideWhenUsed/>
    <w:rsid w:val="002F4C05"/>
    <w:pPr>
      <w:spacing w:before="100" w:beforeAutospacing="1" w:after="100" w:afterAutospacing="1"/>
    </w:pPr>
    <w:rPr>
      <w:rFonts w:ascii="Times New Roman" w:hAnsi="Times New Roman" w:cs="Times New Roman"/>
    </w:rPr>
  </w:style>
  <w:style w:type="character" w:customStyle="1" w:styleId="CorpodetextoChar">
    <w:name w:val="Corpo de texto Char"/>
    <w:link w:val="Corpodetexto"/>
    <w:uiPriority w:val="99"/>
    <w:rsid w:val="002F4C05"/>
    <w:rPr>
      <w:sz w:val="24"/>
      <w:szCs w:val="24"/>
    </w:rPr>
  </w:style>
  <w:style w:type="character" w:styleId="Hyperlink">
    <w:name w:val="Hyperlink"/>
    <w:uiPriority w:val="99"/>
    <w:unhideWhenUsed/>
    <w:rsid w:val="00520E7A"/>
    <w:rPr>
      <w:color w:val="0000FF"/>
      <w:u w:val="single"/>
    </w:rPr>
  </w:style>
  <w:style w:type="paragraph" w:styleId="PargrafodaLista">
    <w:name w:val="List Paragraph"/>
    <w:basedOn w:val="Normal"/>
    <w:uiPriority w:val="34"/>
    <w:rsid w:val="003F48DF"/>
    <w:pPr>
      <w:ind w:left="720"/>
      <w:contextualSpacing/>
    </w:pPr>
  </w:style>
  <w:style w:type="paragraph" w:styleId="Cabealho">
    <w:name w:val="header"/>
    <w:basedOn w:val="Normal"/>
    <w:link w:val="CabealhoChar"/>
    <w:unhideWhenUsed/>
    <w:rsid w:val="00BB5309"/>
    <w:pPr>
      <w:tabs>
        <w:tab w:val="center" w:pos="4252"/>
        <w:tab w:val="right" w:pos="8504"/>
      </w:tabs>
    </w:pPr>
  </w:style>
  <w:style w:type="character" w:customStyle="1" w:styleId="CabealhoChar">
    <w:name w:val="Cabeçalho Char"/>
    <w:basedOn w:val="Fontepargpadro"/>
    <w:link w:val="Cabealho"/>
    <w:rsid w:val="00BB5309"/>
    <w:rPr>
      <w:rFonts w:ascii="Ecofont_Spranq_eco_Sans" w:hAnsi="Ecofont_Spranq_eco_Sans" w:cs="Tahoma"/>
      <w:sz w:val="24"/>
      <w:szCs w:val="24"/>
    </w:rPr>
  </w:style>
  <w:style w:type="paragraph" w:styleId="Rodap">
    <w:name w:val="footer"/>
    <w:basedOn w:val="Normal"/>
    <w:link w:val="RodapChar"/>
    <w:uiPriority w:val="99"/>
    <w:unhideWhenUsed/>
    <w:rsid w:val="00BB5309"/>
    <w:pPr>
      <w:tabs>
        <w:tab w:val="center" w:pos="4252"/>
        <w:tab w:val="right" w:pos="8504"/>
      </w:tabs>
    </w:pPr>
  </w:style>
  <w:style w:type="character" w:customStyle="1" w:styleId="RodapChar">
    <w:name w:val="Rodapé Char"/>
    <w:basedOn w:val="Fontepargpadro"/>
    <w:link w:val="Rodap"/>
    <w:uiPriority w:val="99"/>
    <w:qFormat/>
    <w:rsid w:val="00BB5309"/>
    <w:rPr>
      <w:rFonts w:ascii="Ecofont_Spranq_eco_Sans" w:hAnsi="Ecofont_Spranq_eco_Sans" w:cs="Tahoma"/>
      <w:sz w:val="24"/>
      <w:szCs w:val="24"/>
    </w:rPr>
  </w:style>
  <w:style w:type="paragraph" w:customStyle="1" w:styleId="citao2">
    <w:name w:val="citação 2"/>
    <w:basedOn w:val="Citao"/>
    <w:link w:val="citao2Char"/>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character" w:customStyle="1" w:styleId="citao2Char">
    <w:name w:val="citação 2 Char"/>
    <w:basedOn w:val="CitaoChar"/>
    <w:link w:val="citao2"/>
    <w:rsid w:val="002038C8"/>
    <w:rPr>
      <w:rFonts w:ascii="Ecofont_Spranq_eco_Sans" w:eastAsia="Calibri" w:hAnsi="Ecofont_Spranq_eco_Sans" w:cs="Tahoma"/>
      <w:i/>
      <w:iCs/>
      <w:color w:val="000000"/>
      <w:sz w:val="24"/>
      <w:szCs w:val="24"/>
      <w:shd w:val="clear" w:color="auto" w:fill="FFFFCC"/>
      <w:lang w:eastAsia="en-US"/>
    </w:rPr>
  </w:style>
  <w:style w:type="paragraph" w:styleId="Citao">
    <w:name w:val="Quote"/>
    <w:basedOn w:val="Normal"/>
    <w:next w:val="Normal"/>
    <w:link w:val="CitaoChar"/>
    <w:uiPriority w:val="29"/>
    <w:rsid w:val="002038C8"/>
    <w:rPr>
      <w:i/>
      <w:iCs/>
      <w:color w:val="000000" w:themeColor="text1"/>
    </w:rPr>
  </w:style>
  <w:style w:type="character" w:customStyle="1" w:styleId="CitaoChar">
    <w:name w:val="Citação Char"/>
    <w:basedOn w:val="Fontepargpadro"/>
    <w:link w:val="Citao"/>
    <w:uiPriority w:val="29"/>
    <w:rsid w:val="002038C8"/>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rsid w:val="006362AE"/>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rsid w:val="006362AE"/>
    <w:rPr>
      <w:rFonts w:ascii="Arial" w:eastAsiaTheme="majorEastAsia" w:hAnsi="Arial" w:cs="Arial"/>
      <w:b/>
      <w:bCs/>
      <w:color w:val="365F91" w:themeColor="accent1" w:themeShade="BF"/>
      <w:sz w:val="28"/>
      <w:szCs w:val="28"/>
    </w:rPr>
  </w:style>
  <w:style w:type="paragraph" w:customStyle="1" w:styleId="Nivel01">
    <w:name w:val="Nivel 01"/>
    <w:basedOn w:val="Ttulo1"/>
    <w:next w:val="Normal"/>
    <w:link w:val="Nivel01Char"/>
    <w:qFormat/>
    <w:rsid w:val="00636001"/>
    <w:pPr>
      <w:numPr>
        <w:numId w:val="1"/>
      </w:numPr>
      <w:tabs>
        <w:tab w:val="left" w:pos="567"/>
      </w:tabs>
      <w:spacing w:before="120" w:after="120" w:line="276" w:lineRule="auto"/>
      <w:ind w:left="0" w:firstLine="0"/>
      <w:jc w:val="both"/>
    </w:pPr>
    <w:rPr>
      <w:rFonts w:ascii="Arial" w:hAnsi="Arial" w:cs="Arial"/>
      <w:color w:val="auto"/>
      <w:sz w:val="20"/>
      <w:szCs w:val="20"/>
      <w:lang w:eastAsia="en-US"/>
    </w:rPr>
  </w:style>
  <w:style w:type="character" w:styleId="Refdecomentrio">
    <w:name w:val="annotation reference"/>
    <w:basedOn w:val="Fontepargpadro"/>
    <w:semiHidden/>
    <w:unhideWhenUsed/>
    <w:rsid w:val="006A7A1A"/>
    <w:rPr>
      <w:sz w:val="16"/>
      <w:szCs w:val="16"/>
    </w:rPr>
  </w:style>
  <w:style w:type="paragraph" w:styleId="Textodecomentrio">
    <w:name w:val="annotation text"/>
    <w:basedOn w:val="Normal"/>
    <w:link w:val="TextodecomentrioChar"/>
    <w:unhideWhenUsed/>
    <w:rsid w:val="006A7A1A"/>
    <w:rPr>
      <w:sz w:val="20"/>
      <w:szCs w:val="20"/>
    </w:rPr>
  </w:style>
  <w:style w:type="character" w:customStyle="1" w:styleId="TextodecomentrioChar">
    <w:name w:val="Texto de comentário Char"/>
    <w:basedOn w:val="Fontepargpadro"/>
    <w:link w:val="Textodecomentrio"/>
    <w:rsid w:val="006A7A1A"/>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6A7A1A"/>
    <w:rPr>
      <w:b/>
      <w:bCs/>
    </w:rPr>
  </w:style>
  <w:style w:type="character" w:customStyle="1" w:styleId="AssuntodocomentrioChar">
    <w:name w:val="Assunto do comentário Char"/>
    <w:basedOn w:val="TextodecomentrioChar"/>
    <w:link w:val="Assuntodocomentrio"/>
    <w:semiHidden/>
    <w:rsid w:val="006A7A1A"/>
    <w:rPr>
      <w:rFonts w:ascii="Ecofont_Spranq_eco_Sans" w:hAnsi="Ecofont_Spranq_eco_Sans" w:cs="Tahoma"/>
      <w:b/>
      <w:bCs/>
    </w:rPr>
  </w:style>
  <w:style w:type="paragraph" w:styleId="Textodebalo">
    <w:name w:val="Balloon Text"/>
    <w:basedOn w:val="Normal"/>
    <w:link w:val="TextodebaloChar"/>
    <w:semiHidden/>
    <w:unhideWhenUsed/>
    <w:rsid w:val="006A7A1A"/>
    <w:rPr>
      <w:rFonts w:ascii="Segoe UI" w:hAnsi="Segoe UI" w:cs="Segoe UI"/>
      <w:sz w:val="18"/>
      <w:szCs w:val="18"/>
    </w:rPr>
  </w:style>
  <w:style w:type="character" w:customStyle="1" w:styleId="TextodebaloChar">
    <w:name w:val="Texto de balão Char"/>
    <w:basedOn w:val="Fontepargpadro"/>
    <w:link w:val="Textodebalo"/>
    <w:semiHidden/>
    <w:rsid w:val="006A7A1A"/>
    <w:rPr>
      <w:rFonts w:ascii="Segoe UI" w:hAnsi="Segoe UI" w:cs="Segoe UI"/>
      <w:sz w:val="18"/>
      <w:szCs w:val="18"/>
    </w:rPr>
  </w:style>
  <w:style w:type="paragraph" w:styleId="Reviso">
    <w:name w:val="Revision"/>
    <w:hidden/>
    <w:uiPriority w:val="99"/>
    <w:semiHidden/>
    <w:rsid w:val="00586901"/>
    <w:rPr>
      <w:rFonts w:cs="Tahoma"/>
    </w:rPr>
  </w:style>
  <w:style w:type="character" w:customStyle="1" w:styleId="Nivel01Char">
    <w:name w:val="Nivel 01 Char"/>
    <w:basedOn w:val="Fontepargpadro"/>
    <w:link w:val="Nivel01"/>
    <w:rsid w:val="00636001"/>
    <w:rPr>
      <w:rFonts w:ascii="Arial" w:eastAsiaTheme="majorEastAsia" w:hAnsi="Arial" w:cs="Arial"/>
      <w:b/>
      <w:bCs/>
      <w:lang w:eastAsia="en-US"/>
    </w:rPr>
  </w:style>
  <w:style w:type="paragraph" w:customStyle="1" w:styleId="Nivel2">
    <w:name w:val="Nivel 2"/>
    <w:basedOn w:val="Normal"/>
    <w:link w:val="Nivel2Char"/>
    <w:qFormat/>
    <w:rsid w:val="00D8054F"/>
    <w:pPr>
      <w:numPr>
        <w:ilvl w:val="1"/>
        <w:numId w:val="1"/>
      </w:numPr>
      <w:autoSpaceDE w:val="0"/>
      <w:autoSpaceDN w:val="0"/>
      <w:adjustRightInd w:val="0"/>
      <w:spacing w:before="120" w:after="120" w:line="276" w:lineRule="auto"/>
      <w:ind w:left="0" w:firstLine="0"/>
      <w:jc w:val="both"/>
    </w:pPr>
    <w:rPr>
      <w:rFonts w:ascii="Arial" w:hAnsi="Arial" w:cs="Arial"/>
      <w:sz w:val="20"/>
      <w:szCs w:val="20"/>
    </w:rPr>
  </w:style>
  <w:style w:type="character" w:customStyle="1" w:styleId="Nivel2Char">
    <w:name w:val="Nivel 2 Char"/>
    <w:basedOn w:val="Fontepargpadro"/>
    <w:link w:val="Nivel2"/>
    <w:locked/>
    <w:rsid w:val="00D8054F"/>
    <w:rPr>
      <w:rFonts w:ascii="Arial" w:hAnsi="Arial" w:cs="Arial"/>
    </w:rPr>
  </w:style>
  <w:style w:type="paragraph" w:customStyle="1" w:styleId="Nvel2-Red">
    <w:name w:val="Nível 2 -Red"/>
    <w:basedOn w:val="Nivel2"/>
    <w:link w:val="Nvel2-RedChar"/>
    <w:qFormat/>
    <w:rsid w:val="00BE6EA8"/>
    <w:rPr>
      <w:i/>
      <w:iCs/>
      <w:color w:val="FF0000"/>
    </w:rPr>
  </w:style>
  <w:style w:type="character" w:customStyle="1" w:styleId="Nvel2-RedChar">
    <w:name w:val="Nível 2 -Red Char"/>
    <w:basedOn w:val="Nivel2Char"/>
    <w:link w:val="Nvel2-Red"/>
    <w:rsid w:val="00BE6EA8"/>
    <w:rPr>
      <w:rFonts w:ascii="Arial" w:hAnsi="Arial" w:cs="Arial"/>
      <w:i/>
      <w:iCs/>
      <w:color w:val="FF0000"/>
    </w:rPr>
  </w:style>
  <w:style w:type="paragraph" w:customStyle="1" w:styleId="ou">
    <w:name w:val="ou"/>
    <w:basedOn w:val="PargrafodaLista"/>
    <w:link w:val="ouChar"/>
    <w:qFormat/>
    <w:rsid w:val="009D6CCC"/>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rsid w:val="009D6CCC"/>
    <w:rPr>
      <w:rFonts w:ascii="Arial" w:eastAsiaTheme="minorHAnsi" w:hAnsi="Arial" w:cs="Arial"/>
      <w:b/>
      <w:bCs/>
      <w:i/>
      <w:iCs/>
      <w:color w:val="FF0000"/>
      <w:szCs w:val="24"/>
      <w:u w:val="single"/>
    </w:rPr>
  </w:style>
  <w:style w:type="paragraph" w:customStyle="1" w:styleId="Nvel3-R">
    <w:name w:val="Nível 3-R"/>
    <w:basedOn w:val="Normal"/>
    <w:link w:val="Nvel3-RChar"/>
    <w:qFormat/>
    <w:rsid w:val="00B73E47"/>
    <w:pPr>
      <w:numPr>
        <w:ilvl w:val="2"/>
        <w:numId w:val="1"/>
      </w:numPr>
      <w:spacing w:before="120" w:after="120" w:line="276" w:lineRule="auto"/>
      <w:ind w:left="284" w:firstLine="0"/>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B73E47"/>
    <w:rPr>
      <w:rFonts w:ascii="Arial" w:eastAsiaTheme="minorEastAsia" w:hAnsi="Arial" w:cs="Arial"/>
      <w:i/>
      <w:iCs/>
      <w:color w:val="FF0000"/>
    </w:rPr>
  </w:style>
  <w:style w:type="paragraph" w:customStyle="1" w:styleId="Nvel3">
    <w:name w:val="Nível 3"/>
    <w:basedOn w:val="Nvel3-R"/>
    <w:link w:val="Nvel3Char"/>
    <w:qFormat/>
    <w:rsid w:val="009D6CCC"/>
    <w:rPr>
      <w:rFonts w:eastAsia="Times New Roman"/>
      <w:i w:val="0"/>
      <w:iCs w:val="0"/>
      <w:color w:val="auto"/>
    </w:rPr>
  </w:style>
  <w:style w:type="paragraph" w:customStyle="1" w:styleId="Nvel4">
    <w:name w:val="Nível 4"/>
    <w:basedOn w:val="Nvel3"/>
    <w:link w:val="Nvel4Char"/>
    <w:qFormat/>
    <w:rsid w:val="009D6CCC"/>
    <w:pPr>
      <w:numPr>
        <w:ilvl w:val="3"/>
      </w:numPr>
      <w:ind w:left="567" w:firstLine="0"/>
    </w:pPr>
  </w:style>
  <w:style w:type="character" w:customStyle="1" w:styleId="Nvel3Char">
    <w:name w:val="Nível 3 Char"/>
    <w:basedOn w:val="Nvel3-RChar"/>
    <w:link w:val="Nvel3"/>
    <w:rsid w:val="009D6CCC"/>
    <w:rPr>
      <w:rFonts w:ascii="Arial" w:eastAsiaTheme="minorEastAsia" w:hAnsi="Arial" w:cs="Arial"/>
      <w:i w:val="0"/>
      <w:iCs w:val="0"/>
      <w:color w:val="FF0000"/>
    </w:rPr>
  </w:style>
  <w:style w:type="paragraph" w:customStyle="1" w:styleId="SubTitNN">
    <w:name w:val="SubTitNN"/>
    <w:basedOn w:val="Normal"/>
    <w:link w:val="SubTitNNChar"/>
    <w:qFormat/>
    <w:rsid w:val="009D6CCC"/>
    <w:pPr>
      <w:spacing w:before="240" w:after="120" w:line="276" w:lineRule="auto"/>
      <w:jc w:val="both"/>
    </w:pPr>
    <w:rPr>
      <w:rFonts w:ascii="Arial" w:hAnsi="Arial" w:cs="Arial"/>
      <w:b/>
      <w:bCs/>
      <w:iCs/>
      <w:sz w:val="20"/>
      <w:szCs w:val="20"/>
    </w:rPr>
  </w:style>
  <w:style w:type="character" w:customStyle="1" w:styleId="Nvel4Char">
    <w:name w:val="Nível 4 Char"/>
    <w:basedOn w:val="Nvel3Char"/>
    <w:link w:val="Nvel4"/>
    <w:rsid w:val="009D6CCC"/>
    <w:rPr>
      <w:rFonts w:ascii="Arial" w:eastAsiaTheme="minorEastAsia" w:hAnsi="Arial" w:cs="Arial"/>
      <w:i w:val="0"/>
      <w:iCs w:val="0"/>
      <w:color w:val="FF0000"/>
    </w:rPr>
  </w:style>
  <w:style w:type="character" w:customStyle="1" w:styleId="SubTitNNChar">
    <w:name w:val="SubTitNN Char"/>
    <w:basedOn w:val="Fontepargpadro"/>
    <w:link w:val="SubTitNN"/>
    <w:rsid w:val="009D6CCC"/>
    <w:rPr>
      <w:rFonts w:ascii="Arial" w:hAnsi="Arial" w:cs="Arial"/>
      <w:b/>
      <w:bCs/>
      <w:iC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 w:type="dxa"/>
        <w:right w:w="10"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0" w:type="dxa"/>
        <w:right w:w="10" w:type="dxa"/>
      </w:tblCellMar>
    </w:tblPr>
  </w:style>
  <w:style w:type="table" w:customStyle="1" w:styleId="a2">
    <w:basedOn w:val="TableNormal"/>
    <w:tblPr>
      <w:tblStyleRowBandSize w:val="1"/>
      <w:tblStyleColBandSize w:val="1"/>
      <w:tblCellMar>
        <w:left w:w="10" w:type="dxa"/>
        <w:right w:w="10" w:type="dxa"/>
      </w:tblCellMar>
    </w:tblPr>
  </w:style>
  <w:style w:type="paragraph" w:customStyle="1" w:styleId="Standard">
    <w:name w:val="Standard"/>
    <w:rsid w:val="00D104AF"/>
    <w:pPr>
      <w:suppressAutoHyphens/>
      <w:autoSpaceDN w:val="0"/>
      <w:textAlignment w:val="baseline"/>
    </w:pPr>
    <w:rPr>
      <w:rFonts w:cs="Tahoma"/>
      <w:lang w:eastAsia="zh-CN" w:bidi="hi-IN"/>
    </w:rPr>
  </w:style>
  <w:style w:type="table" w:styleId="Tabelacomgrade">
    <w:name w:val="Table Grid"/>
    <w:basedOn w:val="Tabelanormal"/>
    <w:uiPriority w:val="39"/>
    <w:rsid w:val="00C11B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804CCD"/>
    <w:pPr>
      <w:widowControl w:val="0"/>
      <w:autoSpaceDE w:val="0"/>
      <w:autoSpaceDN w:val="0"/>
      <w:adjustRightInd w:val="0"/>
    </w:pPr>
    <w:rPr>
      <w:rFonts w:ascii="Times New Roman" w:hAnsi="Times New Roman" w:cs="Times New Roman"/>
      <w:l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2270998">
      <w:bodyDiv w:val="1"/>
      <w:marLeft w:val="0"/>
      <w:marRight w:val="0"/>
      <w:marTop w:val="0"/>
      <w:marBottom w:val="0"/>
      <w:divBdr>
        <w:top w:val="none" w:sz="0" w:space="0" w:color="auto"/>
        <w:left w:val="none" w:sz="0" w:space="0" w:color="auto"/>
        <w:bottom w:val="none" w:sz="0" w:space="0" w:color="auto"/>
        <w:right w:val="none" w:sz="0" w:space="0" w:color="auto"/>
      </w:divBdr>
    </w:div>
    <w:div w:id="1042972586">
      <w:bodyDiv w:val="1"/>
      <w:marLeft w:val="0"/>
      <w:marRight w:val="0"/>
      <w:marTop w:val="0"/>
      <w:marBottom w:val="0"/>
      <w:divBdr>
        <w:top w:val="none" w:sz="0" w:space="0" w:color="auto"/>
        <w:left w:val="none" w:sz="0" w:space="0" w:color="auto"/>
        <w:bottom w:val="none" w:sz="0" w:space="0" w:color="auto"/>
        <w:right w:val="none" w:sz="0" w:space="0" w:color="auto"/>
      </w:divBdr>
    </w:div>
    <w:div w:id="1085807305">
      <w:bodyDiv w:val="1"/>
      <w:marLeft w:val="0"/>
      <w:marRight w:val="0"/>
      <w:marTop w:val="0"/>
      <w:marBottom w:val="0"/>
      <w:divBdr>
        <w:top w:val="none" w:sz="0" w:space="0" w:color="auto"/>
        <w:left w:val="none" w:sz="0" w:space="0" w:color="auto"/>
        <w:bottom w:val="none" w:sz="0" w:space="0" w:color="auto"/>
        <w:right w:val="none" w:sz="0" w:space="0" w:color="auto"/>
      </w:divBdr>
    </w:div>
    <w:div w:id="12408674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vVNNieM9KtlveIikRPl/C4MurQ==">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8</Pages>
  <Words>3170</Words>
  <Characters>17121</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Paulo</dc:creator>
  <cp:lastModifiedBy>Paulo</cp:lastModifiedBy>
  <cp:revision>24</cp:revision>
  <cp:lastPrinted>2025-07-03T21:54:00Z</cp:lastPrinted>
  <dcterms:created xsi:type="dcterms:W3CDTF">2023-05-30T11:12:00Z</dcterms:created>
  <dcterms:modified xsi:type="dcterms:W3CDTF">2026-05-15T14:37:00Z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